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rPr>
          <w:rFonts w:ascii="Calibri" w:hAnsi="Calibri" w:eastAsia="Calibri" w:cs="Calibri"/>
          <w:b/>
          <w:bCs/>
          <w:sz w:val="32"/>
          <w:szCs w:val="32"/>
        </w:rPr>
      </w:pPr>
      <w:r>
        <w:rPr>
          <w:rFonts w:eastAsia="Calibri" w:cs="Calibri" w:ascii="Calibri" w:hAnsi="Calibri"/>
          <w:b/>
          <w:bCs/>
          <w:sz w:val="32"/>
          <w:szCs w:val="32"/>
        </w:rPr>
      </w:r>
    </w:p>
    <w:p>
      <w:pPr>
        <w:pStyle w:val="normal1"/>
        <w:spacing w:lineRule="auto" w:line="240"/>
        <w:jc w:val="center"/>
        <w:rPr>
          <w:rFonts w:ascii="Calibri" w:hAnsi="Calibri" w:eastAsia="Calibri" w:cs="Calibri"/>
          <w:b/>
          <w:bCs/>
          <w:sz w:val="32"/>
          <w:szCs w:val="32"/>
          <w:u w:val="single"/>
        </w:rPr>
      </w:pPr>
      <w:r>
        <w:rPr>
          <w:rFonts w:eastAsia="Calibri" w:cs="Calibri" w:ascii="Calibri" w:hAnsi="Calibri"/>
          <w:b/>
          <w:bCs/>
          <w:sz w:val="32"/>
          <w:szCs w:val="32"/>
          <w:u w:val="single"/>
        </w:rPr>
        <w:t>TERMO DE REFERÊNCIA</w:t>
      </w:r>
    </w:p>
    <w:p>
      <w:pPr>
        <w:pStyle w:val="normal1"/>
        <w:spacing w:lineRule="auto" w:line="240"/>
        <w:jc w:val="center"/>
        <w:rPr>
          <w:rFonts w:ascii="Calibri" w:hAnsi="Calibri" w:eastAsia="Calibri" w:cs="Calibri"/>
          <w:b/>
          <w:bCs/>
          <w:u w:val="single"/>
        </w:rPr>
      </w:pPr>
      <w:r>
        <w:rPr>
          <w:rFonts w:eastAsia="Calibri" w:cs="Calibri" w:ascii="Calibri" w:hAnsi="Calibri"/>
          <w:b/>
          <w:bCs/>
          <w:u w:val="single"/>
        </w:rPr>
      </w:r>
    </w:p>
    <w:p>
      <w:pPr>
        <w:pStyle w:val="normal1"/>
        <w:spacing w:lineRule="auto" w:line="240"/>
        <w:jc w:val="start"/>
        <w:rPr>
          <w:lang w:val="pt-BR" w:eastAsia="zh-CN" w:bidi="hi-IN"/>
        </w:rPr>
      </w:pPr>
      <w:r>
        <w:rPr>
          <w:rFonts w:eastAsia="Calibri" w:cs="Calibri" w:ascii="Calibri" w:hAnsi="Calibri"/>
          <w:b/>
          <w:bCs/>
          <w:lang w:val="pt-BR" w:eastAsia="zh-CN" w:bidi="hi-IN"/>
        </w:rPr>
        <w:t>1. CONDIÇÕES GERAIS DA CONTRATAÇÃO</w:t>
      </w:r>
    </w:p>
    <w:p>
      <w:pPr>
        <w:pStyle w:val="normal1"/>
        <w:spacing w:lineRule="auto" w:line="240" w:before="240" w:after="0"/>
        <w:ind w:hanging="0" w:start="0"/>
        <w:jc w:val="both"/>
        <w:rPr>
          <w:lang w:val="pt-BR" w:eastAsia="zh-CN" w:bidi="hi-IN"/>
        </w:rPr>
      </w:pPr>
      <w:r>
        <w:rPr>
          <w:rFonts w:eastAsia="Calibri" w:cs="Calibri" w:ascii="Calibri" w:hAnsi="Calibri"/>
          <w:b/>
          <w:bCs/>
          <w:lang w:val="pt-BR" w:eastAsia="zh-CN" w:bidi="hi-IN"/>
        </w:rPr>
        <w:t>1.1. O presente procedimento tem por objeto a:</w:t>
      </w:r>
    </w:p>
    <w:p>
      <w:pPr>
        <w:pStyle w:val="normal1"/>
        <w:spacing w:lineRule="auto" w:line="240" w:before="0" w:after="0"/>
        <w:ind w:hanging="0" w:start="850"/>
        <w:jc w:val="both"/>
        <w:rPr>
          <w:lang w:val="pt-BR" w:eastAsia="zh-CN" w:bidi="hi-IN"/>
        </w:rPr>
      </w:pPr>
      <w:r>
        <w:rPr>
          <w:rFonts w:eastAsia="Calibri" w:cs="Calibri" w:ascii="Calibri" w:hAnsi="Calibri"/>
          <w:lang w:val="pt-BR" w:eastAsia="zh-CN" w:bidi="hi-IN"/>
        </w:rPr>
        <w:t>(   ) Compra de produtos</w:t>
      </w:r>
    </w:p>
    <w:p>
      <w:pPr>
        <w:pStyle w:val="normal1"/>
        <w:spacing w:lineRule="auto" w:line="240" w:before="0" w:after="0"/>
        <w:ind w:hanging="0" w:start="850"/>
        <w:jc w:val="both"/>
        <w:rPr>
          <w:lang w:val="pt-BR" w:eastAsia="zh-CN" w:bidi="hi-IN"/>
        </w:rPr>
      </w:pPr>
      <w:r>
        <w:rPr>
          <w:rFonts w:eastAsia="Calibri" w:cs="Calibri" w:ascii="Calibri" w:hAnsi="Calibri"/>
          <w:lang w:val="pt-BR" w:eastAsia="zh-CN" w:bidi="hi-IN"/>
        </w:rPr>
        <w:t>( X  ) Contratação de Serviços</w:t>
      </w:r>
    </w:p>
    <w:p>
      <w:pPr>
        <w:pStyle w:val="normal1"/>
        <w:spacing w:lineRule="auto" w:line="240" w:before="0" w:after="0"/>
        <w:ind w:hanging="0" w:start="850"/>
        <w:jc w:val="both"/>
        <w:rPr>
          <w:lang w:val="pt-BR" w:eastAsia="zh-CN" w:bidi="hi-IN"/>
        </w:rPr>
      </w:pPr>
      <w:r>
        <w:rPr>
          <w:rFonts w:eastAsia="Calibri" w:cs="Calibri" w:ascii="Calibri" w:hAnsi="Calibri"/>
          <w:lang w:val="pt-BR" w:eastAsia="zh-CN" w:bidi="hi-IN"/>
        </w:rPr>
        <w:t>(   ) Locação de Bens</w:t>
      </w:r>
    </w:p>
    <w:p>
      <w:pPr>
        <w:pStyle w:val="normal1"/>
        <w:spacing w:lineRule="auto" w:line="240" w:before="0" w:after="0"/>
        <w:ind w:hanging="0" w:start="850"/>
        <w:jc w:val="both"/>
        <w:rPr>
          <w:lang w:val="pt-BR" w:eastAsia="zh-CN" w:bidi="hi-IN"/>
        </w:rPr>
      </w:pPr>
      <w:r>
        <w:rPr>
          <w:rFonts w:eastAsia="Calibri" w:cs="Calibri" w:ascii="Calibri" w:hAnsi="Calibri"/>
          <w:lang w:val="pt-BR" w:eastAsia="zh-CN" w:bidi="hi-IN"/>
        </w:rPr>
        <w:t xml:space="preserve">(   ) Contratação de Obras ou Serviços de Engenharia </w:t>
      </w:r>
    </w:p>
    <w:p>
      <w:pPr>
        <w:pStyle w:val="normal1"/>
        <w:spacing w:lineRule="auto" w:line="240" w:before="0" w:after="0"/>
        <w:ind w:hanging="0" w:start="850"/>
        <w:jc w:val="both"/>
        <w:rPr>
          <w:rFonts w:ascii="Calibri" w:hAnsi="Calibri" w:eastAsia="Calibri" w:cs="Calibri"/>
          <w:lang w:val="pt-BR" w:eastAsia="zh-CN" w:bidi="hi-IN"/>
        </w:rPr>
      </w:pPr>
      <w:r>
        <w:rPr>
          <w:rFonts w:eastAsia="Calibri" w:cs="Calibri" w:ascii="Calibri" w:hAnsi="Calibri"/>
          <w:lang w:val="pt-BR" w:eastAsia="zh-CN" w:bidi="hi-IN"/>
        </w:rPr>
      </w:r>
    </w:p>
    <w:tbl>
      <w:tblPr>
        <w:tblStyle w:val="Table1"/>
        <w:tblW w:w="8985" w:type="dxa"/>
        <w:jc w:val="start"/>
        <w:tblInd w:w="0" w:type="dxa"/>
        <w:tblLayout w:type="fixed"/>
        <w:tblCellMar>
          <w:top w:w="100" w:type="dxa"/>
          <w:start w:w="100" w:type="dxa"/>
          <w:bottom w:w="100" w:type="dxa"/>
          <w:end w:w="100" w:type="dxa"/>
        </w:tblCellMar>
        <w:tblLook w:val="0600"/>
      </w:tblPr>
      <w:tblGrid>
        <w:gridCol w:w="645"/>
        <w:gridCol w:w="5745"/>
        <w:gridCol w:w="1290"/>
        <w:gridCol w:w="1305"/>
      </w:tblGrid>
      <w:tr>
        <w:trPr/>
        <w:tc>
          <w:tcPr>
            <w:tcW w:w="645" w:type="dxa"/>
            <w:tcBorders>
              <w:top w:val="single" w:sz="8" w:space="0" w:color="000000"/>
              <w:start w:val="single" w:sz="8" w:space="0" w:color="000000"/>
              <w:bottom w:val="single" w:sz="8" w:space="0" w:color="000000"/>
              <w:end w:val="single" w:sz="8" w:space="0" w:color="000000"/>
            </w:tcBorders>
            <w:shd w:fill="CCCCCC" w:val="clear"/>
          </w:tcPr>
          <w:p>
            <w:pPr>
              <w:pStyle w:val="normal1"/>
              <w:keepNext w:val="false"/>
              <w:keepLines w:val="false"/>
              <w:widowControl w:val="false"/>
              <w:shd w:val="clear" w:fill="auto"/>
              <w:spacing w:lineRule="auto" w:line="240" w:before="0" w:after="0"/>
              <w:ind w:hanging="0" w:start="0" w:end="0"/>
              <w:jc w:val="center"/>
              <w:rPr>
                <w:lang w:val="pt-BR" w:eastAsia="zh-CN" w:bidi="hi-IN"/>
              </w:rPr>
            </w:pPr>
            <w:r>
              <w:rPr>
                <w:rFonts w:eastAsia="Calibri" w:cs="Calibri" w:ascii="Calibri" w:hAnsi="Calibri"/>
                <w:b/>
                <w:bCs/>
                <w:lang w:val="pt-BR" w:eastAsia="zh-CN" w:bidi="hi-IN"/>
              </w:rPr>
              <w:t>Item</w:t>
            </w:r>
          </w:p>
        </w:tc>
        <w:tc>
          <w:tcPr>
            <w:tcW w:w="5745" w:type="dxa"/>
            <w:tcBorders>
              <w:top w:val="single" w:sz="8" w:space="0" w:color="000000"/>
              <w:start w:val="single" w:sz="8" w:space="0" w:color="000000"/>
              <w:bottom w:val="single" w:sz="8" w:space="0" w:color="000000"/>
              <w:end w:val="single" w:sz="8" w:space="0" w:color="000000"/>
            </w:tcBorders>
            <w:shd w:fill="CCCCCC" w:val="clear"/>
          </w:tcPr>
          <w:p>
            <w:pPr>
              <w:pStyle w:val="normal1"/>
              <w:keepNext w:val="false"/>
              <w:keepLines w:val="false"/>
              <w:widowControl w:val="false"/>
              <w:shd w:val="clear" w:fill="auto"/>
              <w:spacing w:lineRule="auto" w:line="240" w:before="0" w:after="0"/>
              <w:ind w:hanging="0" w:start="0" w:end="0"/>
              <w:jc w:val="center"/>
              <w:rPr>
                <w:lang w:val="pt-BR" w:eastAsia="zh-CN" w:bidi="hi-IN"/>
              </w:rPr>
            </w:pPr>
            <w:r>
              <w:rPr>
                <w:rFonts w:eastAsia="Calibri" w:cs="Calibri" w:ascii="Calibri" w:hAnsi="Calibri"/>
                <w:b/>
                <w:bCs/>
                <w:lang w:val="pt-BR" w:eastAsia="zh-CN" w:bidi="hi-IN"/>
              </w:rPr>
              <w:t>Descrição do Objeto</w:t>
            </w:r>
          </w:p>
        </w:tc>
        <w:tc>
          <w:tcPr>
            <w:tcW w:w="1290" w:type="dxa"/>
            <w:tcBorders>
              <w:top w:val="single" w:sz="8" w:space="0" w:color="000000"/>
              <w:start w:val="single" w:sz="8" w:space="0" w:color="000000"/>
              <w:bottom w:val="single" w:sz="8" w:space="0" w:color="000000"/>
              <w:end w:val="single" w:sz="8" w:space="0" w:color="000000"/>
            </w:tcBorders>
            <w:shd w:fill="CCCCCC" w:val="clear"/>
          </w:tcPr>
          <w:p>
            <w:pPr>
              <w:pStyle w:val="normal1"/>
              <w:keepNext w:val="false"/>
              <w:keepLines w:val="false"/>
              <w:widowControl w:val="false"/>
              <w:shd w:val="clear" w:fill="auto"/>
              <w:spacing w:lineRule="auto" w:line="240" w:before="0" w:after="0"/>
              <w:ind w:hanging="0" w:start="0" w:end="0"/>
              <w:jc w:val="center"/>
              <w:rPr>
                <w:lang w:val="pt-BR" w:eastAsia="zh-CN" w:bidi="hi-IN"/>
              </w:rPr>
            </w:pPr>
            <w:r>
              <w:rPr>
                <w:rFonts w:eastAsia="Calibri" w:cs="Calibri" w:ascii="Calibri" w:hAnsi="Calibri"/>
                <w:b/>
                <w:bCs/>
                <w:lang w:val="pt-BR" w:eastAsia="zh-CN" w:bidi="hi-IN"/>
              </w:rPr>
              <w:t>Unidade</w:t>
            </w:r>
          </w:p>
        </w:tc>
        <w:tc>
          <w:tcPr>
            <w:tcW w:w="1305" w:type="dxa"/>
            <w:tcBorders>
              <w:top w:val="single" w:sz="8" w:space="0" w:color="000000"/>
              <w:start w:val="single" w:sz="8" w:space="0" w:color="000000"/>
              <w:bottom w:val="single" w:sz="8" w:space="0" w:color="000000"/>
              <w:end w:val="single" w:sz="8" w:space="0" w:color="000000"/>
            </w:tcBorders>
            <w:shd w:fill="CCCCCC" w:val="clear"/>
          </w:tcPr>
          <w:p>
            <w:pPr>
              <w:pStyle w:val="normal1"/>
              <w:keepNext w:val="false"/>
              <w:keepLines w:val="false"/>
              <w:widowControl w:val="false"/>
              <w:shd w:val="clear" w:fill="auto"/>
              <w:spacing w:lineRule="auto" w:line="240" w:before="0" w:after="0"/>
              <w:ind w:hanging="0" w:start="0" w:end="0"/>
              <w:jc w:val="center"/>
              <w:rPr>
                <w:lang w:val="pt-BR" w:eastAsia="zh-CN" w:bidi="hi-IN"/>
              </w:rPr>
            </w:pPr>
            <w:r>
              <w:rPr>
                <w:rFonts w:eastAsia="Calibri" w:cs="Calibri" w:ascii="Calibri" w:hAnsi="Calibri"/>
                <w:b/>
                <w:bCs/>
                <w:lang w:val="pt-BR" w:eastAsia="zh-CN" w:bidi="hi-IN"/>
              </w:rPr>
              <w:t>Quantidade</w:t>
            </w:r>
          </w:p>
        </w:tc>
      </w:tr>
      <w:tr>
        <w:trPr>
          <w:trHeight w:val="577" w:hRule="atLeast"/>
        </w:trPr>
        <w:tc>
          <w:tcPr>
            <w:tcW w:w="645" w:type="dxa"/>
            <w:tcBorders>
              <w:top w:val="single" w:sz="8" w:space="0" w:color="000000"/>
              <w:start w:val="single" w:sz="8" w:space="0" w:color="000000"/>
              <w:bottom w:val="single" w:sz="8" w:space="0" w:color="000000"/>
              <w:end w:val="single" w:sz="8" w:space="0" w:color="000000"/>
            </w:tcBorders>
            <w:shd w:fill="auto" w:val="clear"/>
          </w:tcPr>
          <w:p>
            <w:pPr>
              <w:pStyle w:val="normal1"/>
              <w:keepNext w:val="false"/>
              <w:keepLines w:val="false"/>
              <w:widowControl w:val="false"/>
              <w:shd w:val="clear" w:fill="auto"/>
              <w:spacing w:lineRule="auto" w:line="240" w:before="0" w:after="0"/>
              <w:ind w:hanging="0" w:start="0" w:end="0"/>
              <w:jc w:val="center"/>
              <w:rPr>
                <w:lang w:val="pt-BR" w:eastAsia="zh-CN" w:bidi="hi-IN"/>
              </w:rPr>
            </w:pPr>
            <w:r>
              <w:rPr>
                <w:rFonts w:eastAsia="Calibri" w:cs="Calibri" w:ascii="Calibri" w:hAnsi="Calibri"/>
                <w:b/>
                <w:bCs/>
                <w:lang w:val="pt-BR" w:eastAsia="zh-CN" w:bidi="hi-IN"/>
              </w:rPr>
              <w:t>1</w:t>
            </w:r>
          </w:p>
        </w:tc>
        <w:tc>
          <w:tcPr>
            <w:tcW w:w="5745" w:type="dxa"/>
            <w:tcBorders>
              <w:top w:val="single" w:sz="8" w:space="0" w:color="000000"/>
              <w:start w:val="single" w:sz="8" w:space="0" w:color="000000"/>
              <w:bottom w:val="single" w:sz="8" w:space="0" w:color="000000"/>
              <w:end w:val="single" w:sz="8" w:space="0" w:color="000000"/>
            </w:tcBorders>
            <w:shd w:fill="auto" w:val="clear"/>
          </w:tcPr>
          <w:p>
            <w:pPr>
              <w:pStyle w:val="normal1"/>
              <w:keepNext w:val="false"/>
              <w:keepLines w:val="false"/>
              <w:widowControl w:val="false"/>
              <w:shd w:val="clear" w:fill="auto"/>
              <w:spacing w:lineRule="auto" w:line="240" w:before="0" w:after="0"/>
              <w:ind w:hanging="0" w:start="0" w:end="0"/>
              <w:jc w:val="center"/>
              <w:rPr>
                <w:lang w:val="pt-BR" w:eastAsia="zh-CN" w:bidi="hi-IN"/>
              </w:rPr>
            </w:pPr>
            <w:r>
              <w:rPr>
                <w:rFonts w:eastAsia="Calibri" w:cs="Calibri" w:ascii="Calibri" w:hAnsi="Calibri"/>
                <w:b/>
                <w:bCs/>
                <w:lang w:val="pt-BR" w:eastAsia="zh-CN" w:bidi="hi-IN"/>
              </w:rPr>
              <w:t>SERVIÇO DE PINTURA DA COBERTURA NA RUA OSWALDO CRUZ</w:t>
            </w:r>
          </w:p>
        </w:tc>
        <w:tc>
          <w:tcPr>
            <w:tcW w:w="1290" w:type="dxa"/>
            <w:tcBorders>
              <w:top w:val="single" w:sz="8" w:space="0" w:color="000000"/>
              <w:start w:val="single" w:sz="8" w:space="0" w:color="000000"/>
              <w:bottom w:val="single" w:sz="8" w:space="0" w:color="000000"/>
              <w:end w:val="single" w:sz="8" w:space="0" w:color="000000"/>
            </w:tcBorders>
            <w:shd w:fill="auto" w:val="clear"/>
          </w:tcPr>
          <w:p>
            <w:pPr>
              <w:pStyle w:val="normal1"/>
              <w:keepNext w:val="false"/>
              <w:keepLines w:val="false"/>
              <w:widowControl w:val="false"/>
              <w:shd w:val="clear" w:fill="auto"/>
              <w:spacing w:lineRule="auto" w:line="240" w:before="0" w:after="0"/>
              <w:ind w:hanging="0" w:start="0" w:end="0"/>
              <w:jc w:val="center"/>
              <w:rPr>
                <w:lang w:val="pt-BR" w:eastAsia="zh-CN" w:bidi="hi-IN"/>
              </w:rPr>
            </w:pPr>
            <w:r>
              <w:rPr>
                <w:rFonts w:eastAsia="Calibri" w:cs="Calibri" w:ascii="Calibri" w:hAnsi="Calibri"/>
                <w:b/>
                <w:bCs/>
                <w:lang w:val="pt-BR" w:eastAsia="zh-CN" w:bidi="hi-IN"/>
              </w:rPr>
              <w:t>SERV.</w:t>
            </w:r>
          </w:p>
        </w:tc>
        <w:tc>
          <w:tcPr>
            <w:tcW w:w="1305" w:type="dxa"/>
            <w:tcBorders>
              <w:top w:val="single" w:sz="8" w:space="0" w:color="000000"/>
              <w:start w:val="single" w:sz="8" w:space="0" w:color="000000"/>
              <w:bottom w:val="single" w:sz="8" w:space="0" w:color="000000"/>
              <w:end w:val="single" w:sz="8" w:space="0" w:color="000000"/>
            </w:tcBorders>
            <w:shd w:fill="auto" w:val="clear"/>
          </w:tcPr>
          <w:p>
            <w:pPr>
              <w:pStyle w:val="normal1"/>
              <w:keepNext w:val="false"/>
              <w:keepLines w:val="false"/>
              <w:widowControl w:val="false"/>
              <w:shd w:val="clear" w:fill="auto"/>
              <w:spacing w:lineRule="auto" w:line="240" w:before="0" w:after="0"/>
              <w:ind w:hanging="0" w:start="0" w:end="0"/>
              <w:jc w:val="center"/>
              <w:rPr>
                <w:lang w:val="pt-BR" w:eastAsia="zh-CN" w:bidi="hi-IN"/>
              </w:rPr>
            </w:pPr>
            <w:r>
              <w:rPr>
                <w:rFonts w:eastAsia="Calibri" w:cs="Calibri" w:ascii="Calibri" w:hAnsi="Calibri"/>
                <w:b/>
                <w:bCs/>
                <w:lang w:val="pt-BR" w:eastAsia="zh-CN" w:bidi="hi-IN"/>
              </w:rPr>
              <w:t>1</w:t>
            </w:r>
          </w:p>
        </w:tc>
      </w:tr>
    </w:tbl>
    <w:p>
      <w:pPr>
        <w:pStyle w:val="normal1"/>
        <w:spacing w:lineRule="auto" w:line="240" w:before="240" w:after="0"/>
        <w:ind w:hanging="0" w:start="0"/>
        <w:jc w:val="both"/>
        <w:rPr>
          <w:lang w:val="pt-BR" w:eastAsia="zh-CN" w:bidi="hi-IN"/>
        </w:rPr>
      </w:pPr>
      <w:r>
        <w:rPr>
          <w:rFonts w:eastAsia="Calibri" w:cs="Calibri" w:ascii="Calibri" w:hAnsi="Calibri"/>
          <w:b/>
          <w:bCs/>
          <w:lang w:val="pt-BR" w:eastAsia="zh-CN" w:bidi="hi-IN"/>
        </w:rPr>
        <w:t>1.2. O objeto desta contratação não se enquadra como sendo “bem de luxo”, conforme Decreto Municipal nº 5.191/2021 que dá definição ao termo.</w:t>
      </w:r>
      <w:r>
        <w:rPr>
          <w:rFonts w:eastAsia="Calibri" w:cs="Calibri" w:ascii="Calibri" w:hAnsi="Calibri"/>
          <w:lang w:val="pt-BR" w:eastAsia="zh-CN" w:bidi="hi-IN"/>
        </w:rPr>
        <w:t xml:space="preserve"> </w:t>
      </w:r>
    </w:p>
    <w:p>
      <w:pPr>
        <w:pStyle w:val="normal1"/>
        <w:spacing w:lineRule="auto" w:line="240" w:before="240" w:after="0"/>
        <w:ind w:hanging="0" w:start="0"/>
        <w:jc w:val="both"/>
        <w:rPr>
          <w:lang w:val="pt-BR" w:eastAsia="zh-CN" w:bidi="hi-IN"/>
        </w:rPr>
      </w:pPr>
      <w:r>
        <w:rPr>
          <w:rFonts w:eastAsia="Calibri" w:cs="Calibri" w:ascii="Calibri" w:hAnsi="Calibri"/>
          <w:b/>
          <w:bCs/>
          <w:lang w:val="pt-BR" w:eastAsia="zh-CN" w:bidi="hi-IN"/>
        </w:rPr>
        <w:t>1.3. Os bens e serviços são considerados:</w:t>
      </w:r>
    </w:p>
    <w:p>
      <w:pPr>
        <w:pStyle w:val="normal1"/>
        <w:spacing w:lineRule="auto" w:line="240" w:before="0" w:after="0"/>
        <w:ind w:hanging="0" w:start="850"/>
        <w:jc w:val="both"/>
        <w:rPr>
          <w:lang w:val="pt-BR" w:eastAsia="zh-CN" w:bidi="hi-IN"/>
        </w:rPr>
      </w:pPr>
      <w:r>
        <w:rPr>
          <w:rFonts w:eastAsia="Calibri" w:cs="Calibri" w:ascii="Calibri" w:hAnsi="Calibri"/>
          <w:lang w:val="pt-BR" w:eastAsia="zh-CN" w:bidi="hi-IN"/>
        </w:rPr>
        <w:t>(  X  ) Comuns: Com desempenho e qualidade objetivamente definidos:</w:t>
      </w:r>
    </w:p>
    <w:p>
      <w:pPr>
        <w:pStyle w:val="normal1"/>
        <w:spacing w:lineRule="auto" w:line="240" w:before="0" w:after="0"/>
        <w:ind w:hanging="0" w:start="1417"/>
        <w:jc w:val="both"/>
        <w:rPr>
          <w:lang w:val="pt-BR" w:eastAsia="zh-CN" w:bidi="hi-IN"/>
        </w:rPr>
      </w:pPr>
      <w:r>
        <w:rPr>
          <w:rFonts w:eastAsia="Calibri" w:cs="Calibri" w:ascii="Calibri" w:hAnsi="Calibri"/>
          <w:lang w:val="pt-BR" w:eastAsia="zh-CN" w:bidi="hi-IN"/>
        </w:rPr>
        <w:tab/>
        <w:t xml:space="preserve">(   ) </w:t>
      </w:r>
      <w:r>
        <w:rPr>
          <w:rFonts w:eastAsia="Calibri" w:cs="Calibri" w:ascii="Calibri" w:hAnsi="Calibri"/>
          <w:highlight w:val="white"/>
          <w:lang w:val="pt-BR" w:eastAsia="zh-CN" w:bidi="hi-IN"/>
        </w:rPr>
        <w:t>A contratação envolve soluções extremamente simples sendo observado elevado nível de conhecimento operacional acumulado pela administração na gestão das soluções, ou;</w:t>
      </w:r>
    </w:p>
    <w:p>
      <w:pPr>
        <w:pStyle w:val="normal1"/>
        <w:spacing w:lineRule="auto" w:line="240" w:before="0" w:after="0"/>
        <w:ind w:hanging="0" w:start="1417"/>
        <w:jc w:val="both"/>
        <w:rPr>
          <w:lang w:val="pt-BR" w:eastAsia="zh-CN" w:bidi="hi-IN"/>
        </w:rPr>
      </w:pPr>
      <w:r>
        <w:rPr>
          <w:rFonts w:eastAsia="Calibri" w:cs="Calibri" w:ascii="Calibri" w:hAnsi="Calibri"/>
          <w:highlight w:val="white"/>
          <w:lang w:val="pt-BR" w:eastAsia="zh-CN" w:bidi="hi-IN"/>
        </w:rPr>
        <w:t>(  ) Não se trata de uma contratação simples ou conhecida (necessária emissão de Análise de Risco - utilizar modelo).</w:t>
      </w:r>
    </w:p>
    <w:p>
      <w:pPr>
        <w:pStyle w:val="normal1"/>
        <w:spacing w:lineRule="auto" w:line="240" w:before="0" w:after="0"/>
        <w:ind w:hanging="0" w:start="850"/>
        <w:jc w:val="both"/>
        <w:rPr>
          <w:rFonts w:ascii="Calibri" w:hAnsi="Calibri" w:eastAsia="Calibri" w:cs="Calibri"/>
          <w:lang w:val="pt-BR" w:eastAsia="zh-CN" w:bidi="hi-IN"/>
        </w:rPr>
      </w:pPr>
      <w:r>
        <w:rPr>
          <w:rFonts w:eastAsia="Calibri" w:cs="Calibri" w:ascii="Calibri" w:hAnsi="Calibri"/>
          <w:lang w:val="pt-BR" w:eastAsia="zh-CN" w:bidi="hi-IN"/>
        </w:rPr>
      </w:r>
    </w:p>
    <w:p>
      <w:pPr>
        <w:pStyle w:val="normal1"/>
        <w:spacing w:lineRule="auto" w:line="240" w:before="0" w:after="0"/>
        <w:ind w:hanging="0" w:start="850"/>
        <w:jc w:val="both"/>
        <w:rPr>
          <w:lang w:val="pt-BR" w:eastAsia="zh-CN" w:bidi="hi-IN"/>
        </w:rPr>
      </w:pPr>
      <w:r>
        <w:rPr>
          <w:rFonts w:eastAsia="Calibri" w:cs="Calibri" w:ascii="Calibri" w:hAnsi="Calibri"/>
          <w:lang w:val="pt-BR" w:eastAsia="zh-CN" w:bidi="hi-IN"/>
        </w:rPr>
        <w:t>(   ) Especiais: Com complexidade de dificultam objetivamente</w:t>
      </w:r>
    </w:p>
    <w:p>
      <w:pPr>
        <w:pStyle w:val="normal1"/>
        <w:spacing w:lineRule="auto" w:line="240" w:before="240" w:after="0"/>
        <w:ind w:hanging="0" w:start="0"/>
        <w:jc w:val="both"/>
        <w:rPr>
          <w:lang w:val="pt-BR" w:eastAsia="zh-CN" w:bidi="hi-IN"/>
        </w:rPr>
      </w:pPr>
      <w:r>
        <w:rPr>
          <w:rFonts w:eastAsia="Calibri" w:cs="Calibri" w:ascii="Calibri" w:hAnsi="Calibri"/>
          <w:b/>
          <w:bCs/>
          <w:lang w:val="pt-BR" w:eastAsia="zh-CN" w:bidi="hi-IN"/>
        </w:rPr>
        <w:t>1.4. O prazo de vigência da contratação será de:</w:t>
      </w:r>
    </w:p>
    <w:p>
      <w:pPr>
        <w:pStyle w:val="normal1"/>
        <w:spacing w:lineRule="auto" w:line="240" w:before="0" w:after="0"/>
        <w:ind w:hanging="0" w:start="850"/>
        <w:jc w:val="both"/>
        <w:rPr>
          <w:lang w:val="pt-BR" w:eastAsia="zh-CN" w:bidi="hi-IN"/>
        </w:rPr>
      </w:pPr>
      <w:r>
        <w:rPr>
          <w:rFonts w:eastAsia="Calibri" w:cs="Calibri" w:ascii="Calibri" w:hAnsi="Calibri"/>
          <w:lang w:val="pt-BR" w:eastAsia="zh-CN" w:bidi="hi-IN"/>
        </w:rPr>
        <w:t xml:space="preserve">( X  ) 15 Dias </w:t>
      </w:r>
    </w:p>
    <w:p>
      <w:pPr>
        <w:pStyle w:val="normal1"/>
        <w:spacing w:lineRule="auto" w:line="240" w:before="0" w:after="0"/>
        <w:ind w:hanging="0" w:start="850"/>
        <w:jc w:val="both"/>
        <w:rPr>
          <w:lang w:val="pt-BR" w:eastAsia="zh-CN" w:bidi="hi-IN"/>
        </w:rPr>
      </w:pPr>
      <w:r>
        <w:rPr>
          <w:rFonts w:eastAsia="Calibri" w:cs="Calibri" w:ascii="Calibri" w:hAnsi="Calibri"/>
          <w:lang w:val="pt-BR" w:eastAsia="zh-CN" w:bidi="hi-IN"/>
        </w:rPr>
        <w:t>(   ) ____ Meses</w:t>
      </w:r>
    </w:p>
    <w:p>
      <w:pPr>
        <w:pStyle w:val="normal1"/>
        <w:spacing w:lineRule="auto" w:line="240" w:before="0" w:after="0"/>
        <w:ind w:hanging="0" w:start="850"/>
        <w:jc w:val="both"/>
        <w:rPr>
          <w:rFonts w:ascii="Calibri" w:hAnsi="Calibri" w:eastAsia="Calibri" w:cs="Calibri"/>
          <w:lang w:val="pt-BR" w:eastAsia="zh-CN" w:bidi="hi-IN"/>
        </w:rPr>
      </w:pPr>
      <w:r>
        <w:rPr>
          <w:rFonts w:eastAsia="Calibri" w:cs="Calibri" w:ascii="Calibri" w:hAnsi="Calibri"/>
          <w:lang w:val="pt-BR" w:eastAsia="zh-CN" w:bidi="hi-IN"/>
        </w:rPr>
      </w:r>
    </w:p>
    <w:p>
      <w:pPr>
        <w:pStyle w:val="normal1"/>
        <w:spacing w:lineRule="auto" w:line="240" w:before="0" w:after="0"/>
        <w:ind w:hanging="0" w:start="0"/>
        <w:jc w:val="both"/>
        <w:rPr>
          <w:lang w:val="pt-BR" w:eastAsia="zh-CN" w:bidi="hi-IN"/>
        </w:rPr>
      </w:pPr>
      <w:r>
        <w:rPr>
          <w:rFonts w:eastAsia="Calibri" w:cs="Calibri" w:ascii="Calibri" w:hAnsi="Calibri"/>
          <w:b/>
          <w:bCs/>
          <w:lang w:val="pt-BR" w:eastAsia="zh-CN" w:bidi="hi-IN"/>
        </w:rPr>
        <w:t>1.5. Possibilidade de prorrogação da Vigência:</w:t>
      </w:r>
    </w:p>
    <w:p>
      <w:pPr>
        <w:pStyle w:val="normal1"/>
        <w:spacing w:lineRule="auto" w:line="240" w:before="0" w:after="0"/>
        <w:ind w:hanging="0" w:start="850"/>
        <w:jc w:val="both"/>
        <w:rPr>
          <w:lang w:val="pt-BR" w:eastAsia="zh-CN" w:bidi="hi-IN"/>
        </w:rPr>
      </w:pPr>
      <w:r>
        <w:rPr>
          <w:rFonts w:eastAsia="Calibri" w:cs="Calibri" w:ascii="Calibri" w:hAnsi="Calibri"/>
          <w:lang w:val="pt-BR" w:eastAsia="zh-CN" w:bidi="hi-IN"/>
        </w:rPr>
        <w:t>(   ) Sim</w:t>
      </w:r>
    </w:p>
    <w:p>
      <w:pPr>
        <w:pStyle w:val="normal1"/>
        <w:spacing w:lineRule="auto" w:line="240" w:before="0" w:after="0"/>
        <w:ind w:hanging="0" w:start="850"/>
        <w:jc w:val="both"/>
        <w:rPr>
          <w:lang w:val="pt-BR" w:eastAsia="zh-CN" w:bidi="hi-IN"/>
        </w:rPr>
      </w:pPr>
      <w:r>
        <w:rPr>
          <w:rFonts w:eastAsia="Calibri" w:cs="Calibri" w:ascii="Calibri" w:hAnsi="Calibri"/>
          <w:lang w:val="pt-BR" w:eastAsia="zh-CN" w:bidi="hi-IN"/>
        </w:rPr>
        <w:t xml:space="preserve">( X  ) Não </w:t>
      </w:r>
    </w:p>
    <w:p>
      <w:pPr>
        <w:pStyle w:val="normal1"/>
        <w:spacing w:lineRule="auto" w:line="240" w:before="240" w:after="0"/>
        <w:ind w:hanging="0" w:start="0"/>
        <w:jc w:val="both"/>
        <w:rPr>
          <w:lang w:val="pt-BR" w:eastAsia="zh-CN" w:bidi="hi-IN"/>
        </w:rPr>
      </w:pPr>
      <w:r>
        <w:rPr>
          <w:rFonts w:eastAsia="Calibri" w:cs="Calibri" w:ascii="Calibri" w:hAnsi="Calibri"/>
          <w:b/>
          <w:bCs/>
          <w:lang w:val="pt-BR" w:eastAsia="zh-CN" w:bidi="hi-IN"/>
        </w:rPr>
        <w:t>2. FUNDAMENTAÇÃO DA CONTRATAÇÃO</w:t>
      </w:r>
    </w:p>
    <w:p>
      <w:pPr>
        <w:pStyle w:val="normal1"/>
        <w:spacing w:lineRule="auto" w:line="240" w:before="240" w:after="0"/>
        <w:ind w:firstLine="720"/>
        <w:jc w:val="both"/>
        <w:rPr>
          <w:lang w:val="pt-BR" w:eastAsia="zh-CN" w:bidi="hi-IN"/>
        </w:rPr>
      </w:pPr>
      <w:r>
        <w:rPr>
          <w:rFonts w:eastAsia="Calibri" w:cs="Calibri" w:ascii="Calibri" w:hAnsi="Calibri"/>
          <w:lang w:val="pt-BR" w:eastAsia="zh-CN" w:bidi="hi-IN"/>
        </w:rPr>
        <w:t xml:space="preserve">2.1. </w:t>
      </w:r>
      <w:r>
        <w:rPr>
          <w:rFonts w:eastAsia="Calibri" w:cs="Calibri" w:ascii="Calibri" w:hAnsi="Calibri"/>
          <w:b/>
          <w:bCs/>
          <w:lang w:val="pt-BR" w:eastAsia="zh-CN" w:bidi="hi-IN"/>
        </w:rPr>
        <w:t xml:space="preserve">Descrição do problema e de seus efeitos:  </w:t>
      </w:r>
    </w:p>
    <w:p>
      <w:pPr>
        <w:pStyle w:val="BodyText"/>
        <w:suppressAutoHyphens w:val="true"/>
        <w:spacing w:lineRule="auto" w:line="240" w:before="240" w:after="283"/>
        <w:jc w:val="both"/>
        <w:rPr>
          <w:lang w:val="pt-BR" w:eastAsia="zh-CN" w:bidi="hi-IN"/>
        </w:rPr>
      </w:pPr>
      <w:r>
        <w:rPr>
          <w:rFonts w:eastAsia="Calibri" w:cs="Calibri" w:ascii="Calibri" w:hAnsi="Calibri"/>
          <w:lang w:val="pt-BR" w:eastAsia="zh-CN" w:bidi="hi-IN"/>
        </w:rPr>
        <w:t>A cobertura localizada na Rua Oswaldo Cruz, Centro, no município de Igrejinha/RS, apresenta desgaste significativo da pintura em decorrência da exposição contínua às intempéries ao longo dos anos. A ação da radiação solar, das chuvas, da umidade e das variações climáticas ocasionou o envelhecimento da pintura, com perda de aderência, desbotamento e redução da proteção da superfície metálica.</w:t>
      </w:r>
    </w:p>
    <w:p>
      <w:pPr>
        <w:pStyle w:val="BodyText"/>
        <w:suppressAutoHyphens w:val="true"/>
        <w:spacing w:lineRule="auto" w:line="240" w:before="240" w:after="283"/>
        <w:jc w:val="both"/>
        <w:rPr>
          <w:lang w:val="pt-BR" w:eastAsia="zh-CN" w:bidi="hi-IN"/>
        </w:rPr>
      </w:pPr>
      <w:r>
        <w:rPr>
          <w:rFonts w:eastAsia="Calibri" w:cs="Calibri" w:ascii="Calibri" w:hAnsi="Calibri"/>
          <w:lang w:val="pt-BR" w:eastAsia="zh-CN" w:bidi="hi-IN"/>
        </w:rPr>
        <w:t>A ausência de intervenção poderá acelerar o processo de corrosão da estrutura, comprometendo sua durabilidade, aumentando os custos com futuras manutenções corretivas e podendo acarretar danos estruturais ao longo do tempo. Além disso, o estado de conservação da cobertura impacta negativamente a aparência do imóvel, reduzindo a qualidade da infraestrutura disponibilizada aos usuários.</w:t>
      </w:r>
    </w:p>
    <w:p>
      <w:pPr>
        <w:pStyle w:val="BodyText"/>
        <w:suppressAutoHyphens w:val="true"/>
        <w:spacing w:lineRule="auto" w:line="240" w:before="240" w:after="283"/>
        <w:jc w:val="both"/>
        <w:rPr>
          <w:lang w:val="pt-BR" w:eastAsia="zh-CN" w:bidi="hi-IN"/>
        </w:rPr>
      </w:pPr>
      <w:r>
        <w:rPr>
          <w:rFonts w:eastAsia="Calibri" w:cs="Calibri" w:ascii="Calibri" w:hAnsi="Calibri"/>
          <w:lang w:val="pt-BR" w:eastAsia="zh-CN" w:bidi="hi-IN"/>
        </w:rPr>
        <w:t>Diante desse cenário, torna-se necessária a execução do serviço de pintura da cobertura, com o objetivo de restabelecer a camada protetora da estrutura, prevenir o avanço da corrosão, prolongar sua vida útil e garantir a adequada conservação do patrimônio público. A intervenção caracteriza-se como uma ação de manutenção preventiva, promovendo maior segurança, preservação da estrutura e economicidade, ao evitar a necessidade de reparos mais complexos e onerosos no futuro.</w:t>
      </w:r>
    </w:p>
    <w:p>
      <w:pPr>
        <w:pStyle w:val="normal1"/>
        <w:spacing w:lineRule="auto" w:line="240" w:before="240" w:after="0"/>
        <w:ind w:hanging="0" w:start="0"/>
        <w:jc w:val="both"/>
        <w:rPr>
          <w:lang w:val="pt-BR" w:eastAsia="zh-CN" w:bidi="hi-IN"/>
        </w:rPr>
      </w:pPr>
      <w:r>
        <w:rPr>
          <w:rFonts w:eastAsia="Calibri" w:cs="Calibri" w:ascii="Calibri" w:hAnsi="Calibri"/>
          <w:b/>
          <w:bCs/>
          <w:lang w:val="pt-BR" w:eastAsia="zh-CN" w:bidi="hi-IN"/>
        </w:rPr>
        <w:t>3. DESCRIÇÃO DA SOLUÇÃO</w:t>
      </w:r>
    </w:p>
    <w:p>
      <w:pPr>
        <w:pStyle w:val="normal1"/>
        <w:spacing w:lineRule="auto" w:line="240" w:before="240" w:after="0"/>
        <w:ind w:hanging="0" w:start="709"/>
        <w:jc w:val="both"/>
        <w:rPr>
          <w:lang w:val="pt-BR" w:eastAsia="zh-CN" w:bidi="hi-IN"/>
        </w:rPr>
      </w:pPr>
      <w:r>
        <w:rPr>
          <w:rFonts w:eastAsia="Calibri" w:cs="Calibri" w:ascii="Calibri" w:hAnsi="Calibri"/>
          <w:b/>
          <w:bCs/>
          <w:lang w:val="pt-BR" w:eastAsia="zh-CN" w:bidi="hi-IN"/>
        </w:rPr>
        <w:t>3.1. Descrição da solução e de seus efeitos:</w:t>
      </w:r>
      <w:r>
        <w:rPr>
          <w:rFonts w:eastAsia="Calibri" w:cs="Calibri" w:ascii="Calibri" w:hAnsi="Calibri"/>
          <w:lang w:val="pt-BR" w:eastAsia="zh-CN" w:bidi="hi-IN"/>
        </w:rPr>
        <w:t xml:space="preserve"> </w:t>
      </w:r>
    </w:p>
    <w:p>
      <w:pPr>
        <w:pStyle w:val="normal1"/>
        <w:spacing w:lineRule="auto" w:line="240" w:before="240" w:after="0"/>
        <w:ind w:hanging="0" w:start="709"/>
        <w:jc w:val="both"/>
        <w:rPr>
          <w:lang w:val="pt-BR" w:eastAsia="zh-CN" w:bidi="hi-IN"/>
        </w:rPr>
      </w:pPr>
      <w:r>
        <w:rPr>
          <w:rFonts w:eastAsia="Calibri" w:cs="Calibri" w:ascii="Calibri" w:hAnsi="Calibri"/>
          <w:lang w:val="pt-BR" w:eastAsia="zh-CN" w:bidi="hi-IN"/>
        </w:rPr>
        <w:t>A solução proposta consiste na contratação de empresa especializada para a execução dos serviços de manutenção da pintura da cobertura localizada na Rua Oswaldo Cruz, Centro, no município de Igrejinha/RS. A contratação de empresa especializada é necessária para garantir que os serviços sejam executados com mão de obra qualificada, equipamentos adequados e materiais de qualidade, observando as normas técnicas e de segurança aplicáveis.</w:t>
      </w:r>
    </w:p>
    <w:p>
      <w:pPr>
        <w:pStyle w:val="BodyText"/>
        <w:suppressAutoHyphens w:val="true"/>
        <w:spacing w:lineRule="auto" w:line="240" w:before="240" w:after="283"/>
        <w:jc w:val="both"/>
        <w:rPr>
          <w:lang w:val="pt-BR" w:eastAsia="zh-CN" w:bidi="hi-IN"/>
        </w:rPr>
      </w:pPr>
      <w:r>
        <w:rPr>
          <w:rFonts w:eastAsia="Calibri" w:cs="Calibri" w:ascii="Calibri" w:hAnsi="Calibri"/>
          <w:lang w:val="pt-BR" w:eastAsia="zh-CN" w:bidi="hi-IN"/>
        </w:rPr>
        <w:t>A execução da manutenção da pintura permitirá o restabelecimento da proteção da estrutura contra a ação das intempéries, minimizando o avanço de processos corrosivos e prolongando a vida útil da cobertura. Além disso, a intervenção contribuirá para a conservação do patrimônio público, reduzindo a necessidade de futuras manutenções corretivas de maior complexidade e custo.</w:t>
      </w:r>
    </w:p>
    <w:p>
      <w:pPr>
        <w:pStyle w:val="BodyText"/>
        <w:suppressAutoHyphens w:val="true"/>
        <w:spacing w:lineRule="auto" w:line="240" w:before="240" w:after="283"/>
        <w:jc w:val="both"/>
        <w:rPr>
          <w:lang w:val="pt-BR" w:eastAsia="zh-CN" w:bidi="hi-IN"/>
        </w:rPr>
      </w:pPr>
      <w:r>
        <w:rPr>
          <w:rFonts w:eastAsia="Calibri" w:cs="Calibri" w:ascii="Calibri" w:hAnsi="Calibri"/>
          <w:lang w:val="pt-BR" w:eastAsia="zh-CN" w:bidi="hi-IN"/>
        </w:rPr>
        <w:t>Como efeitos esperados, a solução proporcionará maior durabilidade da estrutura, melhoria das condições de conservação e da aparência do imóvel, aumento da segurança dos usuários e economicidade para a Administração Pública, uma vez que a manutenção preventiva evita a deterioração da cobertura e reduz gastos decorrentes de reparos estruturais futuros. Dessa forma, a contratação mostra-se a alternativa mais eficiente e vantajosa para assegurar a preservação do patrimônio público e a continuidade de sua adequada utilização.</w:t>
      </w:r>
    </w:p>
    <w:p>
      <w:pPr>
        <w:pStyle w:val="BodyText"/>
        <w:suppressAutoHyphens w:val="true"/>
        <w:spacing w:lineRule="auto" w:line="240" w:before="240" w:after="283"/>
        <w:jc w:val="both"/>
        <w:rPr>
          <w:rFonts w:ascii="Calibri" w:hAnsi="Calibri" w:eastAsia="Calibri" w:cs="Calibri"/>
          <w:lang w:val="pt-BR" w:eastAsia="zh-CN" w:bidi="hi-IN"/>
        </w:rPr>
      </w:pPr>
      <w:r>
        <w:rPr>
          <w:rFonts w:eastAsia="Calibri" w:cs="Calibri" w:ascii="Calibri" w:hAnsi="Calibri"/>
          <w:lang w:val="pt-BR" w:eastAsia="zh-CN" w:bidi="hi-IN"/>
        </w:rPr>
      </w:r>
    </w:p>
    <w:p>
      <w:pPr>
        <w:pStyle w:val="normal1"/>
        <w:spacing w:lineRule="auto" w:line="240" w:before="240" w:after="0"/>
        <w:ind w:hanging="0" w:start="0"/>
        <w:jc w:val="both"/>
        <w:rPr>
          <w:lang w:val="pt-BR" w:eastAsia="zh-CN" w:bidi="hi-IN"/>
        </w:rPr>
      </w:pPr>
      <w:r>
        <w:rPr>
          <w:rFonts w:eastAsia="Calibri" w:cs="Calibri" w:ascii="Calibri" w:hAnsi="Calibri"/>
          <w:b/>
          <w:bCs/>
          <w:lang w:val="pt-BR" w:eastAsia="zh-CN" w:bidi="hi-IN"/>
        </w:rPr>
        <w:t>4. REQUISITOS DA CONTRATAÇÃO</w:t>
      </w:r>
      <w:r>
        <w:rPr>
          <w:rFonts w:eastAsia="Calibri" w:cs="Calibri" w:ascii="Calibri" w:hAnsi="Calibri"/>
          <w:lang w:val="pt-BR" w:eastAsia="zh-CN" w:bidi="hi-IN"/>
        </w:rPr>
        <w:t xml:space="preserve"> </w:t>
      </w:r>
    </w:p>
    <w:p>
      <w:pPr>
        <w:pStyle w:val="normal1"/>
        <w:spacing w:lineRule="auto" w:line="240" w:before="240" w:after="0"/>
        <w:ind w:firstLine="720"/>
        <w:jc w:val="both"/>
        <w:rPr>
          <w:lang w:val="pt-BR" w:eastAsia="zh-CN" w:bidi="hi-IN"/>
        </w:rPr>
      </w:pPr>
      <w:r>
        <w:rPr>
          <w:rFonts w:eastAsia="Calibri" w:cs="Calibri" w:ascii="Calibri" w:hAnsi="Calibri"/>
          <w:lang w:val="pt-BR" w:eastAsia="zh-CN" w:bidi="hi-IN"/>
        </w:rPr>
        <w:t xml:space="preserve">4.1. </w:t>
      </w:r>
      <w:r>
        <w:rPr>
          <w:rFonts w:eastAsia="Calibri" w:cs="Calibri" w:ascii="Calibri" w:hAnsi="Calibri"/>
          <w:b/>
          <w:bCs/>
          <w:lang w:val="pt-BR" w:eastAsia="zh-CN" w:bidi="hi-IN"/>
        </w:rPr>
        <w:t>Descrição dos padrões mínimos de qualidade:</w:t>
      </w:r>
    </w:p>
    <w:p>
      <w:pPr>
        <w:pStyle w:val="BodyText"/>
        <w:suppressAutoHyphens w:val="true"/>
        <w:spacing w:lineRule="auto" w:line="240" w:before="240" w:after="283"/>
        <w:jc w:val="both"/>
        <w:rPr>
          <w:lang w:val="pt-BR" w:eastAsia="zh-CN" w:bidi="hi-IN"/>
        </w:rPr>
      </w:pPr>
      <w:r>
        <w:rPr>
          <w:rFonts w:eastAsia="Calibri" w:cs="Calibri" w:ascii="Calibri" w:hAnsi="Calibri"/>
          <w:lang w:val="pt-BR" w:eastAsia="zh-CN" w:bidi="hi-IN"/>
        </w:rPr>
        <w:t>* A empresa a ser contratada deverá possuir capacidade técnica compatível com o objeto da contratação, comprovando experiência na execução de serviços de pintura e manutenção de coberturas. Os serviços deverão ser executados por profissionais qualificados, utilizando equipamentos, ferramentas e materiais de primeira qualidade, em conformidade com as normas técnicas vigentes e com as normas de segurança do trabalho.</w:t>
      </w:r>
    </w:p>
    <w:p>
      <w:pPr>
        <w:pStyle w:val="BodyText"/>
        <w:suppressAutoHyphens w:val="true"/>
        <w:spacing w:lineRule="auto" w:line="240" w:before="240" w:after="283"/>
        <w:jc w:val="both"/>
        <w:rPr/>
      </w:pPr>
      <w:r>
        <w:rPr>
          <w:rFonts w:eastAsia="Calibri" w:cs="Calibri" w:ascii="Calibri" w:hAnsi="Calibri"/>
          <w:lang w:val="pt-BR" w:eastAsia="zh-CN" w:bidi="hi-IN"/>
        </w:rPr>
        <w:t xml:space="preserve">* A contratada deverá apresentar </w:t>
      </w:r>
      <w:r>
        <w:rPr>
          <w:rStyle w:val="Strong"/>
          <w:rFonts w:eastAsia="Calibri" w:cs="Calibri" w:ascii="Calibri" w:hAnsi="Calibri"/>
          <w:lang w:val="pt-BR" w:eastAsia="zh-CN" w:bidi="hi-IN"/>
        </w:rPr>
        <w:t>Anotação de Responsabilidade Técnica (ART)</w:t>
      </w:r>
      <w:r>
        <w:rPr>
          <w:rFonts w:eastAsia="Calibri" w:cs="Calibri" w:ascii="Calibri" w:hAnsi="Calibri"/>
          <w:lang w:val="pt-BR" w:eastAsia="zh-CN" w:bidi="hi-IN"/>
        </w:rPr>
        <w:t>, emitida por profissional legalmente habilitado e registrado no Conselho Regional de Engenharia e Agronomia (CREA), referente à execução dos serviços contratados, responsabilizando-se tecnicamente pelas atividades desenvolvidas.</w:t>
      </w:r>
    </w:p>
    <w:p>
      <w:pPr>
        <w:pStyle w:val="BodyText"/>
        <w:suppressAutoHyphens w:val="true"/>
        <w:spacing w:lineRule="auto" w:line="240" w:before="240" w:after="283"/>
        <w:jc w:val="both"/>
        <w:rPr>
          <w:lang w:val="pt-BR" w:eastAsia="zh-CN" w:bidi="hi-IN"/>
        </w:rPr>
      </w:pPr>
      <w:r>
        <w:rPr>
          <w:rFonts w:eastAsia="Calibri" w:cs="Calibri" w:ascii="Calibri" w:hAnsi="Calibri"/>
          <w:lang w:val="pt-BR" w:eastAsia="zh-CN" w:bidi="hi-IN"/>
        </w:rPr>
        <w:t>* A execução dos serviços deverá contemplar a preparação adequada das superfícies, incluindo limpeza, remoção de ferrugem, eliminação de partes soltas, aplicação de fundo anticorrosivo, quando necessário, e aplicação de tinta apropriada para estruturas metálicas expostas às intempéries, garantindo elevada resistência, aderência, cobertura uniforme, acabamento de qualidade e durabilidade.</w:t>
      </w:r>
    </w:p>
    <w:p>
      <w:pPr>
        <w:pStyle w:val="BodyText"/>
        <w:suppressAutoHyphens w:val="true"/>
        <w:spacing w:lineRule="auto" w:line="240" w:before="240" w:after="283"/>
        <w:jc w:val="both"/>
        <w:rPr>
          <w:lang w:val="pt-BR" w:eastAsia="zh-CN" w:bidi="hi-IN"/>
        </w:rPr>
      </w:pPr>
      <w:r>
        <w:rPr>
          <w:rFonts w:eastAsia="Calibri" w:cs="Calibri" w:ascii="Calibri" w:hAnsi="Calibri"/>
          <w:lang w:val="pt-BR" w:eastAsia="zh-CN" w:bidi="hi-IN"/>
        </w:rPr>
        <w:t>* A empresa deverá cumprir rigorosamente os prazos estabelecidos, utilizar Equipamentos de Proteção Individual (EPIs) e Equipamentos de Proteção Coletiva (EPCs), atender às normas regulamentadoras de segurança do trabalho e realizar a destinação ambientalmente adequada dos resíduos gerados durante a execução dos serviços.</w:t>
      </w:r>
    </w:p>
    <w:p>
      <w:pPr>
        <w:pStyle w:val="BodyText"/>
        <w:suppressAutoHyphens w:val="true"/>
        <w:spacing w:lineRule="auto" w:line="240" w:before="240" w:after="283"/>
        <w:jc w:val="both"/>
        <w:rPr>
          <w:lang w:val="pt-BR" w:eastAsia="zh-CN" w:bidi="hi-IN"/>
        </w:rPr>
      </w:pPr>
      <w:r>
        <w:rPr>
          <w:rFonts w:eastAsia="Calibri" w:cs="Calibri" w:ascii="Calibri" w:hAnsi="Calibri"/>
          <w:lang w:val="pt-BR" w:eastAsia="zh-CN" w:bidi="hi-IN"/>
        </w:rPr>
        <w:t>* Ao término da execução, a pintura deverá apresentar acabamento homogêneo, sem falhas, escorrimentos, bolhas, descascamentos ou áreas sem cobertura, assegurando a proteção da estrutura, a conservação do patrimônio público e a ampliação da vida útil da cobertura.</w:t>
      </w:r>
    </w:p>
    <w:p>
      <w:pPr>
        <w:pStyle w:val="normal1"/>
        <w:spacing w:lineRule="auto" w:line="240" w:before="240" w:after="0"/>
        <w:ind w:hanging="0" w:start="0"/>
        <w:jc w:val="both"/>
        <w:rPr>
          <w:lang w:val="pt-BR" w:eastAsia="zh-CN" w:bidi="hi-IN"/>
        </w:rPr>
      </w:pPr>
      <w:r>
        <w:rPr>
          <w:rFonts w:eastAsia="Calibri" w:cs="Calibri" w:ascii="Calibri" w:hAnsi="Calibri"/>
          <w:lang w:val="pt-BR" w:eastAsia="zh-CN" w:bidi="hi-IN"/>
        </w:rPr>
        <w:t>4.2.</w:t>
      </w:r>
      <w:r>
        <w:rPr>
          <w:rFonts w:eastAsia="Calibri" w:cs="Calibri" w:ascii="Calibri" w:hAnsi="Calibri"/>
          <w:b/>
          <w:bCs/>
          <w:lang w:val="pt-BR" w:eastAsia="zh-CN" w:bidi="hi-IN"/>
        </w:rPr>
        <w:t xml:space="preserve"> Condições mínimas para a habilitação do fornecedor</w:t>
      </w:r>
      <w:r>
        <w:rPr>
          <w:rFonts w:eastAsia="Calibri" w:cs="Calibri" w:ascii="Calibri" w:hAnsi="Calibri"/>
          <w:lang w:val="pt-BR" w:eastAsia="zh-CN" w:bidi="hi-IN"/>
        </w:rPr>
        <w:t>: Estes parâmetros serão estabelecidos pelo setor de licitações, salvo nos casos de contratação direta do serviço ou a aquisição do bem assim o exija.</w:t>
      </w:r>
    </w:p>
    <w:p>
      <w:pPr>
        <w:pStyle w:val="normal1"/>
        <w:spacing w:lineRule="auto" w:line="240" w:before="240" w:after="0"/>
        <w:ind w:firstLine="720"/>
        <w:jc w:val="both"/>
        <w:rPr>
          <w:lang w:val="pt-BR" w:eastAsia="zh-CN" w:bidi="hi-IN"/>
        </w:rPr>
      </w:pPr>
      <w:r>
        <w:rPr>
          <w:rFonts w:eastAsia="Calibri" w:cs="Calibri" w:ascii="Calibri" w:hAnsi="Calibri"/>
          <w:lang w:val="pt-BR" w:eastAsia="zh-CN" w:bidi="hi-IN"/>
        </w:rPr>
        <w:t>4.2.1.</w:t>
      </w:r>
      <w:r>
        <w:rPr>
          <w:rFonts w:eastAsia="Calibri" w:cs="Calibri" w:ascii="Calibri" w:hAnsi="Calibri"/>
          <w:b/>
          <w:bCs/>
          <w:lang w:val="pt-BR" w:eastAsia="zh-CN" w:bidi="hi-IN"/>
        </w:rPr>
        <w:t xml:space="preserve"> Quando necessário, outros requisitos de habilitação, sugeridos por equipe técnica e devidamente justificados, podem ser recomendados aqui:</w:t>
      </w:r>
      <w:r>
        <w:rPr>
          <w:rFonts w:eastAsia="Calibri" w:cs="Calibri" w:ascii="Calibri" w:hAnsi="Calibri"/>
          <w:lang w:val="pt-BR" w:eastAsia="zh-CN" w:bidi="hi-IN"/>
        </w:rPr>
        <w:t xml:space="preserve"> </w:t>
      </w:r>
      <w:r>
        <w:rPr>
          <w:rFonts w:eastAsia="Calibri" w:cs="Calibri" w:ascii="Calibri" w:hAnsi="Calibri"/>
          <w:b w:val="false"/>
          <w:bCs w:val="false"/>
          <w:lang w:val="pt-BR" w:eastAsia="zh-CN" w:bidi="hi-IN"/>
        </w:rPr>
        <w:t>Nada além do exigido pelo setor de licitação.</w:t>
      </w:r>
    </w:p>
    <w:p>
      <w:pPr>
        <w:pStyle w:val="normal1"/>
        <w:spacing w:lineRule="auto" w:line="240" w:before="240" w:after="0"/>
        <w:ind w:firstLine="720"/>
        <w:jc w:val="both"/>
        <w:rPr>
          <w:lang w:val="pt-BR" w:eastAsia="zh-CN" w:bidi="hi-IN"/>
        </w:rPr>
      </w:pPr>
      <w:r>
        <w:rPr>
          <w:rFonts w:eastAsia="Calibri" w:cs="Calibri" w:ascii="Calibri" w:hAnsi="Calibri"/>
          <w:lang w:val="pt-BR" w:eastAsia="zh-CN" w:bidi="hi-IN"/>
        </w:rPr>
        <w:t>4.3. Quando da contratação de serviços, estes deverão ser prestados por empresas especializadas no ramo, devidamente regulamentadas, em conformidade com a legislação vigente e padrões estabelecidos no presente termo de referência. Além disso, os fornecedores devem cumprir com as normas técnicas específicas dos serviços, assim como assegurar o emprego correto das práticas de sustentabilidade e a disponibilização de profissionais habilitados para executar as tarefas</w:t>
      </w:r>
    </w:p>
    <w:p>
      <w:pPr>
        <w:pStyle w:val="normal1"/>
        <w:spacing w:lineRule="auto" w:line="240" w:before="240" w:after="0"/>
        <w:ind w:firstLine="720"/>
        <w:jc w:val="both"/>
        <w:rPr>
          <w:lang w:val="pt-BR" w:eastAsia="zh-CN" w:bidi="hi-IN"/>
        </w:rPr>
      </w:pPr>
      <w:r>
        <w:rPr>
          <w:rFonts w:eastAsia="Calibri" w:cs="Calibri" w:ascii="Calibri" w:hAnsi="Calibri"/>
          <w:lang w:val="pt-BR" w:eastAsia="zh-CN" w:bidi="hi-IN"/>
        </w:rPr>
        <w:t>4.4. Quando da compra de produtos, os materiais devem estar com sua integridade estrutural e funcional aptas a gerar os efeitos esperados, destacando para a inexistência de danos ou falhas que possam gerar risco à integridade física dos usuários.</w:t>
      </w:r>
    </w:p>
    <w:p>
      <w:pPr>
        <w:pStyle w:val="normal1"/>
        <w:spacing w:lineRule="auto" w:line="240" w:before="240" w:after="0"/>
        <w:ind w:hanging="0" w:start="0"/>
        <w:jc w:val="both"/>
        <w:rPr>
          <w:lang w:val="pt-BR" w:eastAsia="zh-CN" w:bidi="hi-IN"/>
        </w:rPr>
      </w:pPr>
      <w:r>
        <w:rPr>
          <w:rFonts w:eastAsia="Calibri" w:cs="Calibri" w:ascii="Calibri" w:hAnsi="Calibri"/>
          <w:b/>
          <w:bCs/>
          <w:lang w:val="pt-BR" w:eastAsia="zh-CN" w:bidi="hi-IN"/>
        </w:rPr>
        <w:t>5. MODELO DE EXECUÇÃO DO OBJETO</w:t>
      </w:r>
    </w:p>
    <w:p>
      <w:pPr>
        <w:pStyle w:val="normal1"/>
        <w:spacing w:lineRule="auto" w:line="240" w:before="240" w:after="0"/>
        <w:ind w:hanging="0" w:start="0"/>
        <w:jc w:val="both"/>
        <w:rPr>
          <w:lang w:val="pt-BR" w:eastAsia="zh-CN" w:bidi="hi-IN"/>
        </w:rPr>
      </w:pPr>
      <w:r>
        <w:rPr>
          <w:rFonts w:eastAsia="Calibri" w:cs="Calibri" w:ascii="Calibri" w:hAnsi="Calibri"/>
          <w:b/>
          <w:bCs/>
          <w:lang w:val="pt-BR" w:eastAsia="zh-CN" w:bidi="hi-IN"/>
        </w:rPr>
        <w:t>5.1. A entrega ou a execução do serviço será:</w:t>
      </w:r>
    </w:p>
    <w:p>
      <w:pPr>
        <w:pStyle w:val="normal1"/>
        <w:spacing w:lineRule="auto" w:line="240" w:before="0" w:after="0"/>
        <w:ind w:hanging="0" w:start="709"/>
        <w:jc w:val="start"/>
        <w:rPr>
          <w:lang w:val="pt-BR" w:eastAsia="zh-CN" w:bidi="hi-IN"/>
        </w:rPr>
      </w:pPr>
      <w:r>
        <w:rPr>
          <w:rFonts w:eastAsia="Calibri" w:cs="Calibri" w:ascii="Calibri" w:hAnsi="Calibri"/>
          <w:lang w:val="pt-BR" w:eastAsia="zh-CN" w:bidi="hi-IN"/>
        </w:rPr>
        <w:t>(  x  ) Única ou</w:t>
        <w:br/>
        <w:t>(    ) Parcelada</w:t>
      </w:r>
    </w:p>
    <w:p>
      <w:pPr>
        <w:pStyle w:val="normal1"/>
        <w:spacing w:lineRule="auto" w:line="240" w:before="240" w:after="0"/>
        <w:ind w:hanging="0" w:start="0"/>
        <w:jc w:val="both"/>
        <w:rPr>
          <w:lang w:val="pt-BR" w:eastAsia="zh-CN" w:bidi="hi-IN"/>
        </w:rPr>
      </w:pPr>
      <w:r>
        <w:rPr>
          <w:rFonts w:eastAsia="Calibri" w:cs="Calibri" w:ascii="Calibri" w:hAnsi="Calibri"/>
          <w:lang w:val="pt-BR" w:eastAsia="zh-CN" w:bidi="hi-IN"/>
        </w:rPr>
        <w:t xml:space="preserve">5.2. Local(is) da(s) entrega(s): </w:t>
      </w:r>
      <w:r>
        <w:rPr>
          <w:rFonts w:eastAsia="Calibri" w:cs="Calibri" w:ascii="Calibri" w:hAnsi="Calibri"/>
          <w:b/>
          <w:bCs/>
          <w:lang w:val="pt-BR" w:eastAsia="zh-CN" w:bidi="hi-IN"/>
        </w:rPr>
        <w:t>Rua Oswaldo Cruz, Centro de Igrejinha</w:t>
      </w:r>
    </w:p>
    <w:p>
      <w:pPr>
        <w:pStyle w:val="normal1"/>
        <w:spacing w:lineRule="auto" w:line="240" w:before="240" w:after="0"/>
        <w:ind w:hanging="0" w:start="0"/>
        <w:jc w:val="both"/>
        <w:rPr>
          <w:lang w:val="pt-BR" w:eastAsia="zh-CN" w:bidi="hi-IN"/>
        </w:rPr>
      </w:pPr>
      <w:r>
        <w:rPr>
          <w:rFonts w:eastAsia="Calibri" w:cs="Calibri" w:ascii="Calibri" w:hAnsi="Calibri"/>
          <w:lang w:val="pt-BR" w:eastAsia="zh-CN" w:bidi="hi-IN"/>
        </w:rPr>
        <w:t>5.3.</w:t>
      </w:r>
      <w:r>
        <w:rPr>
          <w:rFonts w:eastAsia="Calibri" w:cs="Calibri" w:ascii="Calibri" w:hAnsi="Calibri"/>
          <w:b/>
          <w:bCs/>
          <w:lang w:val="pt-BR" w:eastAsia="zh-CN" w:bidi="hi-IN"/>
        </w:rPr>
        <w:t xml:space="preserve"> Data ou prazo de entrega ou de início da execução após a solicitação:</w:t>
      </w:r>
      <w:r>
        <w:rPr>
          <w:rFonts w:eastAsia="Calibri" w:cs="Calibri" w:ascii="Calibri" w:hAnsi="Calibri"/>
          <w:lang w:val="pt-BR" w:eastAsia="zh-CN" w:bidi="hi-IN"/>
        </w:rPr>
        <w:t xml:space="preserve"> </w:t>
      </w:r>
      <w:r>
        <w:rPr>
          <w:rFonts w:eastAsia="Calibri" w:cs="Calibri" w:ascii="Calibri" w:hAnsi="Calibri"/>
          <w:b w:val="false"/>
          <w:bCs w:val="false"/>
          <w:lang w:val="pt-BR" w:eastAsia="zh-CN" w:bidi="hi-IN"/>
        </w:rPr>
        <w:t>O serviço deverá ser entregue no máximo em 10 dias após a entrega da ordem de serviço.</w:t>
      </w:r>
    </w:p>
    <w:p>
      <w:pPr>
        <w:pStyle w:val="normal1"/>
        <w:spacing w:lineRule="auto" w:line="240" w:before="240" w:after="0"/>
        <w:ind w:hanging="0" w:start="0"/>
        <w:jc w:val="both"/>
        <w:rPr>
          <w:rFonts w:ascii="Calibri" w:hAnsi="Calibri" w:eastAsia="Calibri" w:cs="Calibri"/>
          <w:b/>
          <w:bCs/>
          <w:lang w:val="pt-BR" w:eastAsia="zh-CN" w:bidi="hi-IN"/>
        </w:rPr>
      </w:pPr>
      <w:r>
        <w:rPr>
          <w:rFonts w:eastAsia="Calibri" w:cs="Calibri" w:ascii="Calibri" w:hAnsi="Calibri"/>
          <w:b/>
          <w:bCs/>
          <w:lang w:val="pt-BR" w:eastAsia="zh-CN" w:bidi="hi-IN"/>
        </w:rPr>
      </w:r>
    </w:p>
    <w:p>
      <w:pPr>
        <w:pStyle w:val="normal1"/>
        <w:spacing w:lineRule="auto" w:line="240"/>
        <w:ind w:hanging="0" w:start="0"/>
        <w:jc w:val="both"/>
        <w:rPr>
          <w:lang w:val="pt-BR" w:eastAsia="zh-CN" w:bidi="hi-IN"/>
        </w:rPr>
      </w:pPr>
      <w:r>
        <w:rPr>
          <w:rFonts w:eastAsia="Calibri" w:cs="Calibri" w:ascii="Calibri" w:hAnsi="Calibri"/>
          <w:lang w:val="pt-BR" w:eastAsia="zh-CN" w:bidi="hi-IN"/>
        </w:rPr>
        <w:t>5.4.</w:t>
      </w:r>
      <w:r>
        <w:rPr>
          <w:rFonts w:eastAsia="Calibri" w:cs="Calibri" w:ascii="Calibri" w:hAnsi="Calibri"/>
          <w:b/>
          <w:bCs/>
          <w:lang w:val="pt-BR" w:eastAsia="zh-CN" w:bidi="hi-IN"/>
        </w:rPr>
        <w:t xml:space="preserve"> Quando da execução de serviços, quais produtos, ferramentas ou insumos serão os fornecidos:</w:t>
      </w:r>
    </w:p>
    <w:p>
      <w:pPr>
        <w:pStyle w:val="normal1"/>
        <w:spacing w:lineRule="auto" w:line="240"/>
        <w:ind w:hanging="0" w:start="709"/>
        <w:jc w:val="both"/>
        <w:rPr>
          <w:lang w:val="pt-BR" w:eastAsia="zh-CN" w:bidi="hi-IN"/>
        </w:rPr>
      </w:pPr>
      <w:r>
        <w:rPr>
          <w:rFonts w:eastAsia="Calibri" w:cs="Calibri" w:ascii="Calibri" w:hAnsi="Calibri"/>
          <w:b/>
          <w:bCs/>
          <w:lang w:val="pt-BR" w:eastAsia="zh-CN" w:bidi="hi-IN"/>
        </w:rPr>
        <w:t>Pela administração:</w:t>
      </w:r>
      <w:r>
        <w:rPr>
          <w:rFonts w:eastAsia="Calibri" w:cs="Calibri" w:ascii="Calibri" w:hAnsi="Calibri"/>
          <w:lang w:val="pt-BR" w:eastAsia="zh-CN" w:bidi="hi-IN"/>
        </w:rPr>
        <w:t xml:space="preserve"> Nada</w:t>
      </w:r>
    </w:p>
    <w:p>
      <w:pPr>
        <w:pStyle w:val="normal1"/>
        <w:spacing w:lineRule="auto" w:line="240"/>
        <w:ind w:hanging="0" w:start="709"/>
        <w:jc w:val="both"/>
        <w:rPr>
          <w:lang w:val="pt-BR" w:eastAsia="zh-CN" w:bidi="hi-IN"/>
        </w:rPr>
      </w:pPr>
      <w:r>
        <w:rPr>
          <w:rFonts w:eastAsia="Calibri" w:cs="Calibri" w:ascii="Calibri" w:hAnsi="Calibri"/>
          <w:b/>
          <w:bCs/>
          <w:lang w:val="pt-BR" w:eastAsia="zh-CN" w:bidi="hi-IN"/>
        </w:rPr>
        <w:t>Pela contratada</w:t>
      </w:r>
      <w:r>
        <w:rPr>
          <w:rFonts w:eastAsia="Calibri" w:cs="Calibri" w:ascii="Calibri" w:hAnsi="Calibri"/>
          <w:lang w:val="pt-BR" w:eastAsia="zh-CN" w:bidi="hi-IN"/>
        </w:rPr>
        <w:t xml:space="preserve">: </w:t>
      </w:r>
      <w:r>
        <w:rPr>
          <w:rFonts w:eastAsia="Calibri" w:cs="Calibri" w:ascii="Calibri" w:hAnsi="Calibri"/>
          <w:b w:val="false"/>
          <w:bCs w:val="false"/>
          <w:lang w:val="pt-BR" w:eastAsia="zh-CN" w:bidi="hi-IN"/>
        </w:rPr>
        <w:t>Toda a estrutura necessária para a execução completa do serviço.</w:t>
      </w:r>
    </w:p>
    <w:p>
      <w:pPr>
        <w:pStyle w:val="normal1"/>
        <w:spacing w:lineRule="auto" w:line="240"/>
        <w:ind w:hanging="0" w:start="709"/>
        <w:jc w:val="both"/>
        <w:rPr>
          <w:rFonts w:ascii="Calibri" w:hAnsi="Calibri" w:eastAsia="Calibri" w:cs="Calibri"/>
          <w:b/>
          <w:bCs/>
          <w:lang w:val="pt-BR" w:eastAsia="zh-CN" w:bidi="hi-IN"/>
        </w:rPr>
      </w:pPr>
      <w:r>
        <w:rPr>
          <w:rFonts w:eastAsia="Calibri" w:cs="Calibri" w:ascii="Calibri" w:hAnsi="Calibri"/>
          <w:b/>
          <w:bCs/>
          <w:lang w:val="pt-BR" w:eastAsia="zh-CN" w:bidi="hi-IN"/>
        </w:rPr>
      </w:r>
    </w:p>
    <w:p>
      <w:pPr>
        <w:pStyle w:val="normal1"/>
        <w:spacing w:lineRule="auto" w:line="240"/>
        <w:ind w:hanging="0" w:start="0"/>
        <w:jc w:val="both"/>
        <w:rPr>
          <w:lang w:val="pt-BR" w:eastAsia="zh-CN" w:bidi="hi-IN"/>
        </w:rPr>
      </w:pPr>
      <w:r>
        <w:rPr>
          <w:rFonts w:eastAsia="Calibri" w:cs="Calibri" w:ascii="Calibri" w:hAnsi="Calibri"/>
          <w:lang w:val="pt-BR" w:eastAsia="zh-CN" w:bidi="hi-IN"/>
        </w:rPr>
        <w:t xml:space="preserve">5.5. </w:t>
      </w:r>
      <w:r>
        <w:rPr>
          <w:rFonts w:eastAsia="Calibri" w:cs="Calibri" w:ascii="Calibri" w:hAnsi="Calibri"/>
          <w:b/>
          <w:bCs/>
          <w:lang w:val="pt-BR" w:eastAsia="zh-CN" w:bidi="hi-IN"/>
        </w:rPr>
        <w:t>Descrição detalhada do objeto ou da execução do objeto, trazendo informações complementares relevantes para a compreensão o objeto:</w:t>
      </w:r>
      <w:r>
        <w:rPr>
          <w:rFonts w:eastAsia="Calibri" w:cs="Calibri" w:ascii="Calibri" w:hAnsi="Calibri"/>
          <w:lang w:val="pt-BR" w:eastAsia="zh-CN" w:bidi="hi-IN"/>
        </w:rPr>
        <w:t xml:space="preserve"> </w:t>
      </w:r>
      <w:r>
        <w:rPr>
          <w:rFonts w:eastAsia="Calibri" w:cs="Calibri" w:ascii="Calibri" w:hAnsi="Calibri"/>
          <w:b/>
          <w:bCs/>
          <w:lang w:val="pt-BR" w:eastAsia="zh-CN" w:bidi="hi-IN"/>
        </w:rPr>
        <w:t xml:space="preserve"> </w:t>
      </w:r>
    </w:p>
    <w:p>
      <w:pPr>
        <w:pStyle w:val="BodyText"/>
        <w:suppressAutoHyphens w:val="true"/>
        <w:spacing w:lineRule="auto" w:line="240"/>
        <w:jc w:val="both"/>
        <w:rPr>
          <w:lang w:val="pt-BR" w:eastAsia="zh-CN" w:bidi="hi-IN"/>
        </w:rPr>
      </w:pPr>
      <w:r>
        <w:rPr>
          <w:rFonts w:eastAsia="Calibri" w:cs="Calibri" w:ascii="Calibri" w:hAnsi="Calibri"/>
          <w:b w:val="false"/>
          <w:bCs w:val="false"/>
          <w:lang w:val="pt-BR" w:eastAsia="zh-CN" w:bidi="hi-IN"/>
        </w:rPr>
        <w:t>O objeto consiste na contratação de empresa especializada para a execução dos serviços de manutenção preventiva, preparação de superfícies e pintura da cobertura localizada na Rua Oswaldo Cruz, Centro, no município de Igrejinha/RS, compreendendo o fornecimento de toda a mão de obra, equipamentos, ferramentas, materiais de consumo e demais insumos necessários à perfeita execução dos serviços.</w:t>
      </w:r>
    </w:p>
    <w:p>
      <w:pPr>
        <w:pStyle w:val="BodyText"/>
        <w:suppressAutoHyphens w:val="true"/>
        <w:spacing w:lineRule="auto" w:line="240"/>
        <w:jc w:val="both"/>
        <w:rPr>
          <w:lang w:val="pt-BR" w:eastAsia="zh-CN" w:bidi="hi-IN"/>
        </w:rPr>
      </w:pPr>
      <w:r>
        <w:rPr>
          <w:rFonts w:eastAsia="Calibri" w:cs="Calibri" w:ascii="Calibri" w:hAnsi="Calibri"/>
          <w:b w:val="false"/>
          <w:bCs w:val="false"/>
          <w:lang w:val="pt-BR" w:eastAsia="zh-CN" w:bidi="hi-IN"/>
        </w:rPr>
        <w:t>A contratada será responsável pelo fornecimento de toda a estrutura necessária para a realização dos trabalhos, incluindo andaimes, plataformas elevatórias (quando necessárias), equipamentos para lavagem e higienização das estruturas, lixadeiras, escovas de aço, pincéis, rolos, pistolas de pintura, compressores, equipamentos de proteção individual (EPIs), equipamentos de proteção coletiva (EPCs), sinalização da área de trabalho e demais equipamentos indispensáveis à execução do objeto.</w:t>
      </w:r>
    </w:p>
    <w:p>
      <w:pPr>
        <w:pStyle w:val="BodyText"/>
        <w:suppressAutoHyphens w:val="true"/>
        <w:spacing w:lineRule="auto" w:line="240"/>
        <w:jc w:val="both"/>
        <w:rPr>
          <w:lang w:val="pt-BR" w:eastAsia="zh-CN" w:bidi="hi-IN"/>
        </w:rPr>
      </w:pPr>
      <w:r>
        <w:rPr>
          <w:rFonts w:eastAsia="Calibri" w:cs="Calibri" w:ascii="Calibri" w:hAnsi="Calibri"/>
          <w:b w:val="false"/>
          <w:bCs w:val="false"/>
          <w:lang w:val="pt-BR" w:eastAsia="zh-CN" w:bidi="hi-IN"/>
        </w:rPr>
        <w:t>Os serviços deverão contemplar a higienização completa das estruturas, remoção de sujeiras, poeira, ferrugem, tinta deteriorada e demais impurezas, preparação das superfícies mediante lixamento e escovação, aplicação de fundo anticorrosivo nas estruturas metálicas quando necessário e aplicação de pintura com tinta apropriada para estruturas metálicas e superfícies expostas às intempéries, garantindo acabamento uniforme, proteção contra corrosão e maior durabilidade.</w:t>
      </w:r>
    </w:p>
    <w:p>
      <w:pPr>
        <w:pStyle w:val="BodyText"/>
        <w:suppressAutoHyphens w:val="true"/>
        <w:spacing w:lineRule="auto" w:line="240"/>
        <w:jc w:val="both"/>
        <w:rPr>
          <w:lang w:val="pt-BR" w:eastAsia="zh-CN" w:bidi="hi-IN"/>
        </w:rPr>
      </w:pPr>
      <w:r>
        <w:rPr>
          <w:rFonts w:eastAsia="Calibri" w:cs="Calibri" w:ascii="Calibri" w:hAnsi="Calibri"/>
          <w:b w:val="false"/>
          <w:bCs w:val="false"/>
          <w:lang w:val="pt-BR" w:eastAsia="zh-CN" w:bidi="hi-IN"/>
        </w:rPr>
        <w:t>Os serviços serão executados nas seguintes estruturas da cobertura:</w:t>
      </w:r>
    </w:p>
    <w:p>
      <w:pPr>
        <w:pStyle w:val="BodyText"/>
        <w:numPr>
          <w:ilvl w:val="0"/>
          <w:numId w:val="3"/>
        </w:numPr>
        <w:tabs>
          <w:tab w:val="clear" w:pos="720"/>
          <w:tab w:val="left" w:pos="0" w:leader="none"/>
        </w:tabs>
        <w:suppressAutoHyphens w:val="true"/>
        <w:spacing w:lineRule="auto" w:line="240"/>
        <w:ind w:hanging="283" w:start="709"/>
        <w:jc w:val="both"/>
        <w:rPr>
          <w:lang w:val="pt-BR" w:eastAsia="zh-CN" w:bidi="hi-IN"/>
        </w:rPr>
      </w:pPr>
      <w:r>
        <w:rPr>
          <w:rFonts w:eastAsia="Calibri" w:cs="Calibri" w:ascii="Calibri" w:hAnsi="Calibri"/>
          <w:b w:val="false"/>
          <w:bCs w:val="false"/>
          <w:lang w:val="pt-BR" w:eastAsia="zh-CN" w:bidi="hi-IN"/>
        </w:rPr>
        <w:t>28 (vinte e oito) colunas metálicas com aproximadamente 5,00 metros de altura cada;</w:t>
      </w:r>
    </w:p>
    <w:p>
      <w:pPr>
        <w:pStyle w:val="BodyText"/>
        <w:numPr>
          <w:ilvl w:val="0"/>
          <w:numId w:val="3"/>
        </w:numPr>
        <w:tabs>
          <w:tab w:val="clear" w:pos="720"/>
          <w:tab w:val="left" w:pos="0" w:leader="none"/>
        </w:tabs>
        <w:suppressAutoHyphens w:val="true"/>
        <w:spacing w:lineRule="auto" w:line="240"/>
        <w:ind w:hanging="283" w:start="709"/>
        <w:jc w:val="both"/>
        <w:rPr>
          <w:lang w:val="pt-BR" w:eastAsia="zh-CN" w:bidi="hi-IN"/>
        </w:rPr>
      </w:pPr>
      <w:r>
        <w:rPr>
          <w:rFonts w:eastAsia="Calibri" w:cs="Calibri" w:ascii="Calibri" w:hAnsi="Calibri"/>
          <w:b w:val="false"/>
          <w:bCs w:val="false"/>
          <w:lang w:val="pt-BR" w:eastAsia="zh-CN" w:bidi="hi-IN"/>
        </w:rPr>
        <w:t>28 (vinte e oito) braços laterais metálicos com aproximadamente 3,00 metros de comprimento cada;</w:t>
      </w:r>
    </w:p>
    <w:p>
      <w:pPr>
        <w:pStyle w:val="BodyText"/>
        <w:numPr>
          <w:ilvl w:val="0"/>
          <w:numId w:val="3"/>
        </w:numPr>
        <w:tabs>
          <w:tab w:val="clear" w:pos="720"/>
          <w:tab w:val="left" w:pos="0" w:leader="none"/>
        </w:tabs>
        <w:suppressAutoHyphens w:val="true"/>
        <w:spacing w:lineRule="auto" w:line="240"/>
        <w:ind w:hanging="283" w:start="709"/>
        <w:jc w:val="both"/>
        <w:rPr>
          <w:lang w:val="pt-BR" w:eastAsia="zh-CN" w:bidi="hi-IN"/>
        </w:rPr>
      </w:pPr>
      <w:r>
        <w:rPr>
          <w:rFonts w:eastAsia="Calibri" w:cs="Calibri" w:ascii="Calibri" w:hAnsi="Calibri"/>
          <w:b w:val="false"/>
          <w:bCs w:val="false"/>
          <w:lang w:val="pt-BR" w:eastAsia="zh-CN" w:bidi="hi-IN"/>
        </w:rPr>
        <w:t>14 (quatorze) arcos metálicos com aproximadamente 20,00 metros de comprimento cada;</w:t>
      </w:r>
    </w:p>
    <w:p>
      <w:pPr>
        <w:pStyle w:val="BodyText"/>
        <w:numPr>
          <w:ilvl w:val="0"/>
          <w:numId w:val="3"/>
        </w:numPr>
        <w:tabs>
          <w:tab w:val="clear" w:pos="720"/>
          <w:tab w:val="left" w:pos="0" w:leader="none"/>
        </w:tabs>
        <w:suppressAutoHyphens w:val="true"/>
        <w:spacing w:lineRule="auto" w:line="240"/>
        <w:ind w:hanging="283" w:start="709"/>
        <w:jc w:val="both"/>
        <w:rPr>
          <w:lang w:val="pt-BR" w:eastAsia="zh-CN" w:bidi="hi-IN"/>
        </w:rPr>
      </w:pPr>
      <w:r>
        <w:rPr>
          <w:rFonts w:eastAsia="Calibri" w:cs="Calibri" w:ascii="Calibri" w:hAnsi="Calibri"/>
          <w:b w:val="false"/>
          <w:bCs w:val="false"/>
          <w:lang w:val="pt-BR" w:eastAsia="zh-CN" w:bidi="hi-IN"/>
        </w:rPr>
        <w:t>19 (dezenove) barras metálicas com aproximadamente 65,00 metros de comprimento cada;</w:t>
      </w:r>
    </w:p>
    <w:p>
      <w:pPr>
        <w:pStyle w:val="BodyText"/>
        <w:numPr>
          <w:ilvl w:val="0"/>
          <w:numId w:val="3"/>
        </w:numPr>
        <w:tabs>
          <w:tab w:val="clear" w:pos="720"/>
          <w:tab w:val="left" w:pos="0" w:leader="none"/>
        </w:tabs>
        <w:suppressAutoHyphens w:val="true"/>
        <w:spacing w:lineRule="auto" w:line="240"/>
        <w:ind w:hanging="283" w:start="709"/>
        <w:jc w:val="both"/>
        <w:rPr>
          <w:lang w:val="pt-BR" w:eastAsia="zh-CN" w:bidi="hi-IN"/>
        </w:rPr>
      </w:pPr>
      <w:r>
        <w:rPr>
          <w:rFonts w:eastAsia="Calibri" w:cs="Calibri" w:ascii="Calibri" w:hAnsi="Calibri"/>
          <w:b w:val="false"/>
          <w:bCs w:val="false"/>
          <w:lang w:val="pt-BR" w:eastAsia="zh-CN" w:bidi="hi-IN"/>
        </w:rPr>
        <w:t>02 (duas) calhas de zinco com aproximadamente 65,00 metros de comprimento cada;</w:t>
      </w:r>
    </w:p>
    <w:p>
      <w:pPr>
        <w:pStyle w:val="BodyText"/>
        <w:numPr>
          <w:ilvl w:val="0"/>
          <w:numId w:val="3"/>
        </w:numPr>
        <w:tabs>
          <w:tab w:val="clear" w:pos="720"/>
          <w:tab w:val="left" w:pos="0" w:leader="none"/>
        </w:tabs>
        <w:suppressAutoHyphens w:val="true"/>
        <w:spacing w:lineRule="auto" w:line="240"/>
        <w:ind w:hanging="283" w:start="709"/>
        <w:jc w:val="both"/>
        <w:rPr>
          <w:lang w:val="pt-BR" w:eastAsia="zh-CN" w:bidi="hi-IN"/>
        </w:rPr>
      </w:pPr>
      <w:r>
        <w:rPr>
          <w:rFonts w:eastAsia="Calibri" w:cs="Calibri" w:ascii="Calibri" w:hAnsi="Calibri"/>
          <w:b w:val="false"/>
          <w:bCs w:val="false"/>
          <w:lang w:val="pt-BR" w:eastAsia="zh-CN" w:bidi="hi-IN"/>
        </w:rPr>
        <w:t>28 (vinte e oito) sapatas de concreto.</w:t>
      </w:r>
    </w:p>
    <w:p>
      <w:pPr>
        <w:pStyle w:val="BodyText"/>
        <w:suppressAutoHyphens w:val="true"/>
        <w:spacing w:lineRule="auto" w:line="240"/>
        <w:jc w:val="both"/>
        <w:rPr>
          <w:lang w:val="pt-BR" w:eastAsia="zh-CN" w:bidi="hi-IN"/>
        </w:rPr>
      </w:pPr>
      <w:r>
        <w:rPr>
          <w:rFonts w:eastAsia="Calibri" w:cs="Calibri" w:ascii="Calibri" w:hAnsi="Calibri"/>
          <w:b w:val="false"/>
          <w:bCs w:val="false"/>
          <w:lang w:val="pt-BR" w:eastAsia="zh-CN" w:bidi="hi-IN"/>
        </w:rPr>
        <w:t>A contratada deverá realizar os serviços de forma contínua, observando rigorosamente as normas técnicas aplicáveis, as Normas Regulamentadoras de Segurança e Saúde no Trabalho, especialmente aquelas relacionadas ao trabalho em altura, além de adotar todas as medidas necessárias para garantir a segurança dos trabalhadores, dos usuários do local e de terceiros durante a execução dos serviços.</w:t>
      </w:r>
    </w:p>
    <w:p>
      <w:pPr>
        <w:pStyle w:val="BodyText"/>
        <w:suppressAutoHyphens w:val="true"/>
        <w:spacing w:lineRule="auto" w:line="240"/>
        <w:jc w:val="both"/>
        <w:rPr/>
      </w:pPr>
      <w:r>
        <w:rPr>
          <w:rFonts w:eastAsia="Calibri" w:cs="Calibri" w:ascii="Calibri" w:hAnsi="Calibri"/>
          <w:b w:val="false"/>
          <w:bCs w:val="false"/>
          <w:lang w:val="pt-BR" w:eastAsia="zh-CN" w:bidi="hi-IN"/>
        </w:rPr>
        <w:t xml:space="preserve">A empresa contratada deverá fornecer materiais de primeira qualidade, garantir acabamento homogêneo, sem falhas, escorrimentos, bolhas ou áreas descobertas, bem como apresentar </w:t>
      </w:r>
      <w:r>
        <w:rPr>
          <w:rStyle w:val="Strong"/>
          <w:rFonts w:eastAsia="Calibri" w:cs="Calibri" w:ascii="Calibri" w:hAnsi="Calibri"/>
          <w:b w:val="false"/>
          <w:bCs w:val="false"/>
          <w:lang w:val="pt-BR" w:eastAsia="zh-CN" w:bidi="hi-IN"/>
        </w:rPr>
        <w:t>Anotação de Responsabilidade Técnica (ART)</w:t>
      </w:r>
      <w:r>
        <w:rPr>
          <w:rFonts w:eastAsia="Calibri" w:cs="Calibri" w:ascii="Calibri" w:hAnsi="Calibri"/>
          <w:b w:val="false"/>
          <w:bCs w:val="false"/>
          <w:lang w:val="pt-BR" w:eastAsia="zh-CN" w:bidi="hi-IN"/>
        </w:rPr>
        <w:t>, emitida por profissional legalmente habilitado e registrado no CREA, responsabilizando-se tecnicamente pela execução dos serviços.</w:t>
      </w:r>
    </w:p>
    <w:p>
      <w:pPr>
        <w:pStyle w:val="BodyText"/>
        <w:suppressAutoHyphens w:val="true"/>
        <w:spacing w:lineRule="auto" w:line="240"/>
        <w:jc w:val="both"/>
        <w:rPr>
          <w:lang w:val="pt-BR" w:eastAsia="zh-CN" w:bidi="hi-IN"/>
        </w:rPr>
      </w:pPr>
      <w:r>
        <w:rPr>
          <w:rFonts w:eastAsia="Calibri" w:cs="Calibri" w:ascii="Calibri" w:hAnsi="Calibri"/>
          <w:b w:val="false"/>
          <w:bCs w:val="false"/>
          <w:lang w:val="pt-BR" w:eastAsia="zh-CN" w:bidi="hi-IN"/>
        </w:rPr>
        <w:t>Ao término da execução, a contratada deverá realizar a limpeza completa da área, remover resíduos e materiais utilizados, entregar o local em perfeitas condições de uso e garantir que a pintura apresente plena aderência, proteção contra agentes climáticos e aspecto visual compatível com os padrões de qualidade exigidos pela Administração Pública.</w:t>
      </w:r>
    </w:p>
    <w:p>
      <w:pPr>
        <w:pStyle w:val="normal1"/>
        <w:spacing w:lineRule="auto" w:line="240"/>
        <w:ind w:hanging="0" w:start="0"/>
        <w:jc w:val="both"/>
        <w:rPr>
          <w:rFonts w:ascii="Calibri" w:hAnsi="Calibri" w:eastAsia="Calibri" w:cs="Calibri"/>
          <w:b w:val="false"/>
          <w:bCs w:val="false"/>
          <w:lang w:val="pt-BR" w:eastAsia="zh-CN" w:bidi="hi-IN"/>
        </w:rPr>
      </w:pPr>
      <w:r>
        <w:rPr>
          <w:rFonts w:eastAsia="Calibri" w:cs="Calibri" w:ascii="Calibri" w:hAnsi="Calibri"/>
          <w:b w:val="false"/>
          <w:bCs w:val="false"/>
          <w:lang w:val="pt-BR" w:eastAsia="zh-CN" w:bidi="hi-IN"/>
        </w:rPr>
      </w:r>
    </w:p>
    <w:p>
      <w:pPr>
        <w:pStyle w:val="normal1"/>
        <w:spacing w:lineRule="auto" w:line="240" w:before="240" w:after="0"/>
        <w:ind w:hanging="0" w:start="0"/>
        <w:jc w:val="both"/>
        <w:rPr>
          <w:lang w:val="pt-BR" w:eastAsia="zh-CN" w:bidi="hi-IN"/>
        </w:rPr>
      </w:pPr>
      <w:r>
        <w:rPr>
          <w:rFonts w:eastAsia="Calibri" w:cs="Calibri" w:ascii="Calibri" w:hAnsi="Calibri"/>
          <w:b/>
          <w:bCs/>
          <w:lang w:val="pt-BR" w:eastAsia="zh-CN" w:bidi="hi-IN"/>
        </w:rPr>
        <w:t>6. MODELO DE GESTÃO DO CONTRATO</w:t>
      </w:r>
    </w:p>
    <w:p>
      <w:pPr>
        <w:pStyle w:val="normal1"/>
        <w:spacing w:lineRule="auto" w:line="240" w:before="240" w:after="0"/>
        <w:ind w:hanging="0" w:start="0"/>
        <w:jc w:val="both"/>
        <w:rPr>
          <w:lang w:val="pt-BR" w:eastAsia="zh-CN" w:bidi="hi-IN"/>
        </w:rPr>
      </w:pPr>
      <w:r>
        <w:rPr>
          <w:rFonts w:eastAsia="Calibri" w:cs="Calibri" w:ascii="Calibri" w:hAnsi="Calibri"/>
          <w:lang w:val="pt-BR" w:eastAsia="zh-CN" w:bidi="hi-IN"/>
        </w:rPr>
        <w:t xml:space="preserve">6.1 O contrato deverá ser executado fielmente pelas partes, de acordo com as cláusulas avençadas e as normas da Lei nº 14.133/2021, respondendo que der causa à inexecução total ou parcial. </w:t>
      </w:r>
    </w:p>
    <w:p>
      <w:pPr>
        <w:pStyle w:val="normal1"/>
        <w:spacing w:lineRule="auto" w:line="240" w:before="240" w:after="0"/>
        <w:ind w:hanging="0" w:start="0"/>
        <w:jc w:val="both"/>
        <w:rPr>
          <w:lang w:val="pt-BR" w:eastAsia="zh-CN" w:bidi="hi-IN"/>
        </w:rPr>
      </w:pPr>
      <w:r>
        <w:rPr>
          <w:rFonts w:eastAsia="Calibri" w:cs="Calibri" w:ascii="Calibri" w:hAnsi="Calibri"/>
          <w:lang w:val="pt-BR" w:eastAsia="zh-CN" w:bidi="hi-IN"/>
        </w:rPr>
        <w:t xml:space="preserve">6.2 As comunicações entre o órgão ou entidade e a contratada devem ser realizadas por escrito, sempre que o ato exigir tal formalidade, admitindo-se o uso de mensagem eletrônica para dar agilidade e celeridade aos procedimentos de menor complexidade. A gestão do contrato deverá ser conduzida pelo </w:t>
      </w:r>
      <w:r>
        <w:rPr>
          <w:rFonts w:eastAsia="Calibri" w:cs="Calibri" w:ascii="Calibri" w:hAnsi="Calibri"/>
          <w:b/>
          <w:bCs/>
          <w:lang w:val="pt-BR" w:eastAsia="zh-CN" w:bidi="hi-IN"/>
        </w:rPr>
        <w:t>Gestor do Contrato</w:t>
      </w:r>
      <w:r>
        <w:rPr>
          <w:rFonts w:eastAsia="Calibri" w:cs="Calibri" w:ascii="Calibri" w:hAnsi="Calibri"/>
          <w:lang w:val="pt-BR" w:eastAsia="zh-CN" w:bidi="hi-IN"/>
        </w:rPr>
        <w:t>, abaixo qualificado:</w:t>
      </w:r>
    </w:p>
    <w:p>
      <w:pPr>
        <w:pStyle w:val="normal1"/>
        <w:numPr>
          <w:ilvl w:val="0"/>
          <w:numId w:val="1"/>
        </w:numPr>
        <w:spacing w:lineRule="auto" w:line="240" w:before="240" w:after="0"/>
        <w:ind w:hanging="360" w:start="720"/>
        <w:jc w:val="both"/>
        <w:rPr>
          <w:lang w:val="pt-BR" w:eastAsia="zh-CN" w:bidi="hi-IN"/>
        </w:rPr>
      </w:pPr>
      <w:r>
        <w:rPr>
          <w:rFonts w:eastAsia="Calibri" w:cs="Calibri" w:ascii="Calibri" w:hAnsi="Calibri"/>
          <w:lang w:val="pt-BR" w:eastAsia="zh-CN" w:bidi="hi-IN"/>
        </w:rPr>
        <w:t xml:space="preserve">Nome completo / Matrícula:  </w:t>
      </w:r>
      <w:r>
        <w:rPr>
          <w:rFonts w:eastAsia="Calibri" w:cs="Calibri" w:ascii="Calibri;serif" w:hAnsi="Calibri;serif"/>
          <w:b/>
          <w:bCs/>
          <w:lang w:val="pt-BR" w:eastAsia="zh-CN" w:bidi="hi-IN"/>
        </w:rPr>
        <w:t>Marcio Fernando Feller/ 11605</w:t>
      </w:r>
    </w:p>
    <w:p>
      <w:pPr>
        <w:pStyle w:val="normal1"/>
        <w:numPr>
          <w:ilvl w:val="0"/>
          <w:numId w:val="1"/>
        </w:numPr>
        <w:spacing w:lineRule="auto" w:line="240" w:before="240" w:after="0"/>
        <w:ind w:hanging="360" w:start="720"/>
        <w:jc w:val="both"/>
        <w:rPr>
          <w:rFonts w:ascii="Calibri" w:hAnsi="Calibri" w:eastAsia="Calibri" w:cs="Calibri"/>
          <w:lang w:val="pt-BR" w:eastAsia="zh-CN" w:bidi="hi-IN"/>
        </w:rPr>
      </w:pPr>
      <w:r>
        <w:rPr>
          <w:rFonts w:eastAsia="Calibri" w:cs="Calibri" w:ascii="Calibri" w:hAnsi="Calibri"/>
          <w:lang w:val="pt-BR" w:eastAsia="zh-CN" w:bidi="hi-IN"/>
        </w:rPr>
      </w:r>
    </w:p>
    <w:p>
      <w:pPr>
        <w:pStyle w:val="normal1"/>
        <w:spacing w:lineRule="auto" w:line="240" w:before="240" w:after="0"/>
        <w:ind w:hanging="0" w:start="0"/>
        <w:jc w:val="both"/>
        <w:rPr>
          <w:lang w:val="pt-BR" w:eastAsia="zh-CN" w:bidi="hi-IN"/>
        </w:rPr>
      </w:pPr>
      <w:r>
        <w:rPr>
          <w:rFonts w:eastAsia="Calibri" w:cs="Calibri" w:ascii="Calibri" w:hAnsi="Calibri"/>
          <w:lang w:val="pt-BR" w:eastAsia="zh-CN" w:bidi="hi-IN"/>
        </w:rPr>
        <w:t xml:space="preserve">6.3 O órgão ou entidade poderá convocar representante da empresa para adoção de providências que devem ser cumpridas de imediato. </w:t>
      </w:r>
    </w:p>
    <w:p>
      <w:pPr>
        <w:pStyle w:val="normal1"/>
        <w:spacing w:lineRule="auto" w:line="240" w:before="240" w:after="0"/>
        <w:ind w:hanging="0" w:start="0"/>
        <w:jc w:val="both"/>
        <w:rPr>
          <w:lang w:val="pt-BR" w:eastAsia="zh-CN" w:bidi="hi-IN"/>
        </w:rPr>
      </w:pPr>
      <w:r>
        <w:rPr>
          <w:rFonts w:eastAsia="Calibri" w:cs="Calibri" w:ascii="Calibri" w:hAnsi="Calibri"/>
          <w:lang w:val="pt-BR" w:eastAsia="zh-CN" w:bidi="hi-IN"/>
        </w:rPr>
        <w:t xml:space="preserve">6.4 A execução do contrato deverá ser acompanhada e fiscalizada pelo(s) </w:t>
      </w:r>
      <w:r>
        <w:rPr>
          <w:rFonts w:eastAsia="Calibri" w:cs="Calibri" w:ascii="Calibri" w:hAnsi="Calibri"/>
          <w:b/>
          <w:bCs/>
          <w:lang w:val="pt-BR" w:eastAsia="zh-CN" w:bidi="hi-IN"/>
        </w:rPr>
        <w:t>fiscal(is) do contrato</w:t>
      </w:r>
      <w:r>
        <w:rPr>
          <w:rFonts w:eastAsia="Calibri" w:cs="Calibri" w:ascii="Calibri" w:hAnsi="Calibri"/>
          <w:lang w:val="pt-BR" w:eastAsia="zh-CN" w:bidi="hi-IN"/>
        </w:rPr>
        <w:t>, ou pelos respectivos substitutos, abaixo qualificados:</w:t>
      </w:r>
    </w:p>
    <w:p>
      <w:pPr>
        <w:pStyle w:val="normal1"/>
        <w:numPr>
          <w:ilvl w:val="0"/>
          <w:numId w:val="1"/>
        </w:numPr>
        <w:spacing w:lineRule="auto" w:line="240" w:before="240" w:after="0"/>
        <w:ind w:hanging="360" w:start="720"/>
        <w:jc w:val="both"/>
        <w:rPr>
          <w:lang w:val="pt-BR" w:eastAsia="zh-CN" w:bidi="hi-IN"/>
        </w:rPr>
      </w:pPr>
      <w:r>
        <w:rPr>
          <w:rFonts w:eastAsia="Calibri" w:cs="Calibri" w:ascii="Calibri" w:hAnsi="Calibri"/>
          <w:lang w:val="pt-BR" w:eastAsia="zh-CN" w:bidi="hi-IN"/>
        </w:rPr>
        <w:t xml:space="preserve">Nome completo / Matrícula:  </w:t>
      </w:r>
      <w:r>
        <w:rPr>
          <w:rFonts w:eastAsia="Calibri" w:cs="Calibri" w:ascii="Calibri;serif" w:hAnsi="Calibri;serif"/>
          <w:b/>
          <w:bCs/>
          <w:lang w:val="pt-BR" w:eastAsia="zh-CN" w:bidi="hi-IN"/>
        </w:rPr>
        <w:t>Silvano Ricardo Vingert/13588</w:t>
      </w:r>
    </w:p>
    <w:p>
      <w:pPr>
        <w:pStyle w:val="normal1"/>
        <w:spacing w:lineRule="auto" w:line="240" w:before="240" w:after="0"/>
        <w:ind w:hanging="0" w:start="0"/>
        <w:jc w:val="both"/>
        <w:rPr>
          <w:lang w:val="pt-BR" w:eastAsia="zh-CN" w:bidi="hi-IN"/>
        </w:rPr>
      </w:pPr>
      <w:r>
        <w:rPr>
          <w:rFonts w:eastAsia="Calibri" w:cs="Calibri" w:ascii="Calibri" w:hAnsi="Calibri"/>
          <w:lang w:val="pt-BR" w:eastAsia="zh-CN" w:bidi="hi-IN"/>
        </w:rPr>
        <w:t xml:space="preserve">6.5 O fiscal do contrato acompanhará a execução do contrato, para que sejam cumpridas todas as condições estabelecidas no contrato, de modo a assegurar os melhores resultados para a Administração. </w:t>
      </w:r>
    </w:p>
    <w:p>
      <w:pPr>
        <w:pStyle w:val="normal1"/>
        <w:spacing w:lineRule="auto" w:line="240" w:before="240" w:after="0"/>
        <w:ind w:hanging="0" w:start="0"/>
        <w:jc w:val="both"/>
        <w:rPr>
          <w:lang w:val="pt-BR" w:eastAsia="zh-CN" w:bidi="hi-IN"/>
        </w:rPr>
      </w:pPr>
      <w:r>
        <w:rPr>
          <w:rFonts w:eastAsia="Calibri" w:cs="Calibri" w:ascii="Calibri" w:hAnsi="Calibri"/>
          <w:lang w:val="pt-BR" w:eastAsia="zh-CN" w:bidi="hi-IN"/>
        </w:rPr>
        <w:t xml:space="preserve">6.6 O fiscal do contrato verificará a manutenção das condições de habilitação da contratada, acompanhará o empenho, o pagamento, as garantias, as glosas e a formalização de apostilamento e termos aditivos, solicitando quaisquer documentos comprobatórios pertinentes, caso necessário. </w:t>
      </w:r>
    </w:p>
    <w:p>
      <w:pPr>
        <w:pStyle w:val="normal1"/>
        <w:spacing w:lineRule="auto" w:line="240" w:before="240" w:after="0"/>
        <w:ind w:hanging="0" w:start="0"/>
        <w:jc w:val="both"/>
        <w:rPr>
          <w:lang w:val="pt-BR" w:eastAsia="zh-CN" w:bidi="hi-IN"/>
        </w:rPr>
      </w:pPr>
      <w:r>
        <w:rPr>
          <w:rFonts w:eastAsia="Calibri" w:cs="Calibri" w:ascii="Calibri" w:hAnsi="Calibri"/>
          <w:b/>
          <w:bCs/>
          <w:lang w:val="pt-BR" w:eastAsia="zh-CN" w:bidi="hi-IN"/>
        </w:rPr>
        <w:t>7. CRITÉRIOS DE MEDIÇÃO E DE PAGAMENTO</w:t>
      </w:r>
    </w:p>
    <w:p>
      <w:pPr>
        <w:pStyle w:val="normal1"/>
        <w:spacing w:lineRule="auto" w:line="240" w:before="240" w:after="0"/>
        <w:ind w:hanging="0" w:start="0"/>
        <w:jc w:val="both"/>
        <w:rPr>
          <w:lang w:val="pt-BR" w:eastAsia="zh-CN" w:bidi="hi-IN"/>
        </w:rPr>
      </w:pPr>
      <w:r>
        <w:rPr>
          <w:rFonts w:eastAsia="Calibri" w:cs="Calibri" w:ascii="Calibri" w:hAnsi="Calibri"/>
          <w:lang w:val="pt-BR" w:eastAsia="zh-CN" w:bidi="hi-IN"/>
        </w:rPr>
        <w:t xml:space="preserve">7.1. Os bens serão recebidos provisoriamente, de forma sumária, no ato da entrega, juntamente com a nota fiscal ou instrumento de cobrança equivalente, pelo(a) responsável pelo acompanhamento e fiscalização do contrato, para efeito de posterior verificação de sua conformidade com as especificações constantes no Termo de Referência e na proposta. </w:t>
      </w:r>
    </w:p>
    <w:p>
      <w:pPr>
        <w:pStyle w:val="normal1"/>
        <w:spacing w:lineRule="auto" w:line="240" w:before="240" w:after="0"/>
        <w:ind w:hanging="0" w:start="0"/>
        <w:jc w:val="both"/>
        <w:rPr>
          <w:lang w:val="pt-BR" w:eastAsia="zh-CN" w:bidi="hi-IN"/>
        </w:rPr>
      </w:pPr>
      <w:r>
        <w:rPr>
          <w:rFonts w:eastAsia="Calibri" w:cs="Calibri" w:ascii="Calibri" w:hAnsi="Calibri"/>
          <w:lang w:val="pt-BR" w:eastAsia="zh-CN" w:bidi="hi-IN"/>
        </w:rPr>
        <w:t>7.2. Os bens poderão ser rejeitados, no todo ou em parte, inclusive antes do recebimento provisório, quando em desacordo com as especificações constantes no Termo de Referência e na proposta, devendo ser substituídos no prazo de 5 (cinco) dias, a contar da notificação da contratada, às suas custas, sem prejuízo da aplicação das penalidades.</w:t>
      </w:r>
    </w:p>
    <w:p>
      <w:pPr>
        <w:pStyle w:val="normal1"/>
        <w:spacing w:lineRule="auto" w:line="240" w:before="240" w:after="0"/>
        <w:ind w:hanging="0" w:start="0"/>
        <w:jc w:val="both"/>
        <w:rPr>
          <w:lang w:val="pt-BR" w:eastAsia="zh-CN" w:bidi="hi-IN"/>
        </w:rPr>
      </w:pPr>
      <w:r>
        <w:rPr>
          <w:rFonts w:eastAsia="Calibri" w:cs="Calibri" w:ascii="Calibri" w:hAnsi="Calibri"/>
          <w:lang w:val="pt-BR" w:eastAsia="zh-CN" w:bidi="hi-IN"/>
        </w:rPr>
        <w:t xml:space="preserve">7.3. O recebimento definitivo ocorrerá quando da verificação definitiva da conformidade dos bens ou serviços e consequente aceitação. </w:t>
      </w:r>
    </w:p>
    <w:p>
      <w:pPr>
        <w:pStyle w:val="normal1"/>
        <w:spacing w:lineRule="auto" w:line="240" w:before="240" w:after="0"/>
        <w:ind w:hanging="0" w:start="0"/>
        <w:jc w:val="both"/>
        <w:rPr>
          <w:lang w:val="pt-BR" w:eastAsia="zh-CN" w:bidi="hi-IN"/>
        </w:rPr>
      </w:pPr>
      <w:r>
        <w:rPr>
          <w:rFonts w:eastAsia="Calibri" w:cs="Calibri" w:ascii="Calibri" w:hAnsi="Calibri"/>
          <w:lang w:val="pt-BR" w:eastAsia="zh-CN" w:bidi="hi-IN"/>
        </w:rPr>
        <w:t xml:space="preserve">7.4. O prazo para recebimento definitivo poderá ser excepcionalmente prorrogado, de forma justificada, por igual período, quando houver necessidade de diligências para a aferição do atendimento das exigências contratuais. </w:t>
      </w:r>
    </w:p>
    <w:p>
      <w:pPr>
        <w:pStyle w:val="normal1"/>
        <w:spacing w:lineRule="auto" w:line="240" w:before="240" w:after="0"/>
        <w:ind w:hanging="0" w:start="0"/>
        <w:jc w:val="both"/>
        <w:rPr>
          <w:lang w:val="pt-BR" w:eastAsia="zh-CN" w:bidi="hi-IN"/>
        </w:rPr>
      </w:pPr>
      <w:r>
        <w:rPr>
          <w:rFonts w:eastAsia="Calibri" w:cs="Calibri" w:ascii="Calibri" w:hAnsi="Calibri"/>
          <w:lang w:val="pt-BR" w:eastAsia="zh-CN" w:bidi="hi-IN"/>
        </w:rPr>
        <w:t xml:space="preserve">7.5. No caso de controvérsia sobre a execução do objeto, quanto à dimensão, qualidade e quantidade, deverá ser observado o teor do art. 143 da Lei nº 14.133, de 2021, comunicando-se à empresa para emissão de Nota Fiscal no que pertine à parcela incontroversa da execução do objeto, para efeito de liquidação e pagamento. </w:t>
      </w:r>
    </w:p>
    <w:p>
      <w:pPr>
        <w:pStyle w:val="normal1"/>
        <w:spacing w:lineRule="auto" w:line="240" w:before="240" w:after="0"/>
        <w:ind w:hanging="0" w:start="0"/>
        <w:jc w:val="both"/>
        <w:rPr>
          <w:lang w:val="pt-BR" w:eastAsia="zh-CN" w:bidi="hi-IN"/>
        </w:rPr>
      </w:pPr>
      <w:r>
        <w:rPr>
          <w:rFonts w:eastAsia="Calibri" w:cs="Calibri" w:ascii="Calibri" w:hAnsi="Calibri"/>
          <w:lang w:val="pt-BR" w:eastAsia="zh-CN" w:bidi="hi-IN"/>
        </w:rPr>
        <w:t>7.6. O prazo para a solução, pelo contratado, de inconsistências na execução do objeto ou de saneamento da nota fiscal ou de instrumento de cobrança equivalente, verificadas pela Administração durante a análise prévia à liquidação de despesa, não será computado para os fins do recebimento definitivo.</w:t>
      </w:r>
    </w:p>
    <w:p>
      <w:pPr>
        <w:pStyle w:val="normal1"/>
        <w:spacing w:lineRule="auto" w:line="240" w:before="240" w:after="0"/>
        <w:ind w:hanging="0" w:start="0"/>
        <w:jc w:val="both"/>
        <w:rPr>
          <w:lang w:val="pt-BR" w:eastAsia="zh-CN" w:bidi="hi-IN"/>
        </w:rPr>
      </w:pPr>
      <w:r>
        <w:rPr>
          <w:rFonts w:eastAsia="Calibri" w:cs="Calibri" w:ascii="Calibri" w:hAnsi="Calibri"/>
          <w:lang w:val="pt-BR" w:eastAsia="zh-CN" w:bidi="hi-IN"/>
        </w:rPr>
        <w:t xml:space="preserve">7.7. Recebida a Nota Fiscal ou documento de cobrança equivalente, correrá o prazo de 20 (vinte) dias úteis para fins de liquidação, na forma desta seção, prorrogáveis por igual período, salvo especificidades para contratos de obras ou serviços continuados. </w:t>
      </w:r>
    </w:p>
    <w:p>
      <w:pPr>
        <w:pStyle w:val="normal1"/>
        <w:spacing w:lineRule="auto" w:line="240" w:before="240" w:after="0"/>
        <w:ind w:hanging="0" w:start="0"/>
        <w:jc w:val="both"/>
        <w:rPr>
          <w:lang w:val="pt-BR" w:eastAsia="zh-CN" w:bidi="hi-IN"/>
        </w:rPr>
      </w:pPr>
      <w:r>
        <w:rPr>
          <w:rFonts w:eastAsia="Calibri" w:cs="Calibri" w:ascii="Calibri" w:hAnsi="Calibri"/>
          <w:lang w:val="pt-BR" w:eastAsia="zh-CN" w:bidi="hi-IN"/>
        </w:rPr>
        <w:t xml:space="preserve">7.8. O prazo de que trata o item anterior será reduzido à metade, mantendo-se a possibilidade de prorrogação, no caso de contratações decorrentes de despesas cujos valores não ultrapassem o limite de que trata o inciso I e II do art. 75 da Lei nº 14.133, de 2021. </w:t>
      </w:r>
    </w:p>
    <w:p>
      <w:pPr>
        <w:pStyle w:val="normal1"/>
        <w:spacing w:lineRule="auto" w:line="240" w:before="240" w:after="0"/>
        <w:ind w:hanging="0" w:start="0"/>
        <w:jc w:val="both"/>
        <w:rPr>
          <w:lang w:val="pt-BR" w:eastAsia="zh-CN" w:bidi="hi-IN"/>
        </w:rPr>
      </w:pPr>
      <w:r>
        <w:rPr>
          <w:rFonts w:eastAsia="Calibri" w:cs="Calibri" w:ascii="Calibri" w:hAnsi="Calibri"/>
          <w:lang w:val="pt-BR" w:eastAsia="zh-CN" w:bidi="hi-IN"/>
        </w:rPr>
        <w:t xml:space="preserve">7.9. Para fins de liquidação, o setor competente deverá verificar se a nota fiscal ou instrumento de cobrança equivalente apresentado expressa os elementos necessários e essenciais do documento, tais como: </w:t>
      </w:r>
    </w:p>
    <w:p>
      <w:pPr>
        <w:pStyle w:val="normal1"/>
        <w:spacing w:lineRule="auto" w:line="240" w:before="0" w:after="0"/>
        <w:ind w:hanging="0" w:start="850"/>
        <w:jc w:val="both"/>
        <w:rPr>
          <w:lang w:val="pt-BR" w:eastAsia="zh-CN" w:bidi="hi-IN"/>
        </w:rPr>
      </w:pPr>
      <w:r>
        <w:rPr>
          <w:rFonts w:eastAsia="Calibri" w:cs="Calibri" w:ascii="Calibri" w:hAnsi="Calibri"/>
          <w:lang w:val="pt-BR" w:eastAsia="zh-CN" w:bidi="hi-IN"/>
        </w:rPr>
        <w:t xml:space="preserve">a) A data da emissão; </w:t>
      </w:r>
    </w:p>
    <w:p>
      <w:pPr>
        <w:pStyle w:val="normal1"/>
        <w:spacing w:lineRule="auto" w:line="240" w:before="0" w:after="0"/>
        <w:ind w:hanging="0" w:start="850"/>
        <w:jc w:val="both"/>
        <w:rPr>
          <w:lang w:val="pt-BR" w:eastAsia="zh-CN" w:bidi="hi-IN"/>
        </w:rPr>
      </w:pPr>
      <w:r>
        <w:rPr>
          <w:rFonts w:eastAsia="Calibri" w:cs="Calibri" w:ascii="Calibri" w:hAnsi="Calibri"/>
          <w:lang w:val="pt-BR" w:eastAsia="zh-CN" w:bidi="hi-IN"/>
        </w:rPr>
        <w:t xml:space="preserve">b) Os dados do contratado e do órgão contratante; </w:t>
      </w:r>
    </w:p>
    <w:p>
      <w:pPr>
        <w:pStyle w:val="normal1"/>
        <w:spacing w:lineRule="auto" w:line="240" w:before="0" w:after="0"/>
        <w:ind w:hanging="0" w:start="850"/>
        <w:jc w:val="both"/>
        <w:rPr>
          <w:lang w:val="pt-BR" w:eastAsia="zh-CN" w:bidi="hi-IN"/>
        </w:rPr>
      </w:pPr>
      <w:r>
        <w:rPr>
          <w:rFonts w:eastAsia="Calibri" w:cs="Calibri" w:ascii="Calibri" w:hAnsi="Calibri"/>
          <w:lang w:val="pt-BR" w:eastAsia="zh-CN" w:bidi="hi-IN"/>
        </w:rPr>
        <w:t xml:space="preserve">c) O período respectivo de execução do contrato; </w:t>
      </w:r>
    </w:p>
    <w:p>
      <w:pPr>
        <w:pStyle w:val="normal1"/>
        <w:spacing w:lineRule="auto" w:line="240" w:before="0" w:after="0"/>
        <w:ind w:hanging="0" w:start="850"/>
        <w:jc w:val="both"/>
        <w:rPr>
          <w:lang w:val="pt-BR" w:eastAsia="zh-CN" w:bidi="hi-IN"/>
        </w:rPr>
      </w:pPr>
      <w:r>
        <w:rPr>
          <w:rFonts w:eastAsia="Calibri" w:cs="Calibri" w:ascii="Calibri" w:hAnsi="Calibri"/>
          <w:lang w:val="pt-BR" w:eastAsia="zh-CN" w:bidi="hi-IN"/>
        </w:rPr>
        <w:t xml:space="preserve">d) O valor a pagar; e </w:t>
      </w:r>
    </w:p>
    <w:p>
      <w:pPr>
        <w:pStyle w:val="normal1"/>
        <w:spacing w:lineRule="auto" w:line="240" w:before="0" w:after="0"/>
        <w:ind w:hanging="0" w:start="850"/>
        <w:jc w:val="both"/>
        <w:rPr>
          <w:lang w:val="pt-BR" w:eastAsia="zh-CN" w:bidi="hi-IN"/>
        </w:rPr>
      </w:pPr>
      <w:r>
        <w:rPr>
          <w:rFonts w:eastAsia="Calibri" w:cs="Calibri" w:ascii="Calibri" w:hAnsi="Calibri"/>
          <w:lang w:val="pt-BR" w:eastAsia="zh-CN" w:bidi="hi-IN"/>
        </w:rPr>
        <w:t>e) Eventual destaque do valor de retenções tributárias cabíveis.</w:t>
      </w:r>
    </w:p>
    <w:p>
      <w:pPr>
        <w:pStyle w:val="normal1"/>
        <w:spacing w:lineRule="auto" w:line="240" w:before="0" w:after="0"/>
        <w:ind w:hanging="0" w:start="0"/>
        <w:jc w:val="both"/>
        <w:rPr>
          <w:rFonts w:ascii="Calibri" w:hAnsi="Calibri" w:eastAsia="Calibri" w:cs="Calibri"/>
          <w:lang w:val="pt-BR" w:eastAsia="zh-CN" w:bidi="hi-IN"/>
        </w:rPr>
      </w:pPr>
      <w:r>
        <w:rPr>
          <w:rFonts w:eastAsia="Calibri" w:cs="Calibri" w:ascii="Calibri" w:hAnsi="Calibri"/>
          <w:lang w:val="pt-BR" w:eastAsia="zh-CN" w:bidi="hi-IN"/>
        </w:rPr>
      </w:r>
    </w:p>
    <w:p>
      <w:pPr>
        <w:pStyle w:val="normal1"/>
        <w:spacing w:lineRule="auto" w:line="240" w:before="0" w:after="0"/>
        <w:ind w:hanging="0" w:start="0"/>
        <w:jc w:val="both"/>
        <w:rPr>
          <w:lang w:val="pt-BR" w:eastAsia="zh-CN" w:bidi="hi-IN"/>
        </w:rPr>
      </w:pPr>
      <w:r>
        <w:rPr>
          <w:rFonts w:eastAsia="Calibri" w:cs="Calibri" w:ascii="Calibri" w:hAnsi="Calibri"/>
          <w:lang w:val="pt-BR" w:eastAsia="zh-CN" w:bidi="hi-IN"/>
        </w:rPr>
        <w:t xml:space="preserve">7.10. Havendo erro na apresentação da nota fiscal ou instrumento de cobrança equivalente, ou circunstância que impeça a liquidação da despesa, esta ficará sobrestada até que o contratado providencie as medidas saneadoras, reiniciando-se o prazo após a comprovação da regularização da situação, sem ônus ao contratante; </w:t>
      </w:r>
    </w:p>
    <w:p>
      <w:pPr>
        <w:pStyle w:val="normal1"/>
        <w:spacing w:lineRule="auto" w:line="240" w:before="0" w:after="0"/>
        <w:ind w:hanging="0" w:start="0"/>
        <w:jc w:val="both"/>
        <w:rPr>
          <w:rFonts w:ascii="Calibri" w:hAnsi="Calibri" w:eastAsia="Calibri" w:cs="Calibri"/>
          <w:lang w:val="pt-BR" w:eastAsia="zh-CN" w:bidi="hi-IN"/>
        </w:rPr>
      </w:pPr>
      <w:r>
        <w:rPr>
          <w:rFonts w:eastAsia="Calibri" w:cs="Calibri" w:ascii="Calibri" w:hAnsi="Calibri"/>
          <w:lang w:val="pt-BR" w:eastAsia="zh-CN" w:bidi="hi-IN"/>
        </w:rPr>
      </w:r>
    </w:p>
    <w:p>
      <w:pPr>
        <w:pStyle w:val="normal1"/>
        <w:spacing w:lineRule="auto" w:line="240" w:before="0" w:after="0"/>
        <w:ind w:hanging="0" w:start="0"/>
        <w:jc w:val="both"/>
        <w:rPr>
          <w:lang w:val="pt-BR" w:eastAsia="zh-CN" w:bidi="hi-IN"/>
        </w:rPr>
      </w:pPr>
      <w:r>
        <w:rPr>
          <w:rFonts w:eastAsia="Calibri" w:cs="Calibri" w:ascii="Calibri" w:hAnsi="Calibri"/>
          <w:lang w:val="pt-BR" w:eastAsia="zh-CN" w:bidi="hi-IN"/>
        </w:rPr>
        <w:t xml:space="preserve">7.11. Não havendo regularização ou sendo a defesa considerada improcedente, o contratante deverá comunicar aos órgãos responsáveis pela fiscalização da regularidade fiscal quanto à inadimplência do contratado, bem como quanto à existência de pagamento a ser efetuado, para que sejam acionados os meios pertinentes e necessários para garantir o recebimento de seus créditos. </w:t>
      </w:r>
    </w:p>
    <w:p>
      <w:pPr>
        <w:pStyle w:val="normal1"/>
        <w:spacing w:lineRule="auto" w:line="240" w:before="0" w:after="0"/>
        <w:ind w:hanging="0" w:start="0"/>
        <w:jc w:val="both"/>
        <w:rPr>
          <w:rFonts w:ascii="Calibri" w:hAnsi="Calibri" w:eastAsia="Calibri" w:cs="Calibri"/>
          <w:lang w:val="pt-BR" w:eastAsia="zh-CN" w:bidi="hi-IN"/>
        </w:rPr>
      </w:pPr>
      <w:r>
        <w:rPr>
          <w:rFonts w:eastAsia="Calibri" w:cs="Calibri" w:ascii="Calibri" w:hAnsi="Calibri"/>
          <w:lang w:val="pt-BR" w:eastAsia="zh-CN" w:bidi="hi-IN"/>
        </w:rPr>
      </w:r>
    </w:p>
    <w:p>
      <w:pPr>
        <w:pStyle w:val="normal1"/>
        <w:spacing w:lineRule="auto" w:line="240" w:before="0" w:after="0"/>
        <w:ind w:hanging="0" w:start="0"/>
        <w:jc w:val="both"/>
        <w:rPr>
          <w:lang w:val="pt-BR" w:eastAsia="zh-CN" w:bidi="hi-IN"/>
        </w:rPr>
      </w:pPr>
      <w:r>
        <w:rPr>
          <w:rFonts w:eastAsia="Calibri" w:cs="Calibri" w:ascii="Calibri" w:hAnsi="Calibri"/>
          <w:lang w:val="pt-BR" w:eastAsia="zh-CN" w:bidi="hi-IN"/>
        </w:rPr>
        <w:t xml:space="preserve">7.12. Persistindo a irregularidade, o contratante deverá adotar as medidas necessárias à rescisão contratual nos autos do processo administrativo correspondente, assegurada ao contratado a ampla defesa. </w:t>
      </w:r>
    </w:p>
    <w:p>
      <w:pPr>
        <w:pStyle w:val="normal1"/>
        <w:spacing w:lineRule="auto" w:line="240" w:before="0" w:after="0"/>
        <w:ind w:hanging="0" w:start="0"/>
        <w:jc w:val="both"/>
        <w:rPr>
          <w:rFonts w:ascii="Calibri" w:hAnsi="Calibri" w:eastAsia="Calibri" w:cs="Calibri"/>
          <w:lang w:val="pt-BR" w:eastAsia="zh-CN" w:bidi="hi-IN"/>
        </w:rPr>
      </w:pPr>
      <w:r>
        <w:rPr>
          <w:rFonts w:eastAsia="Calibri" w:cs="Calibri" w:ascii="Calibri" w:hAnsi="Calibri"/>
          <w:lang w:val="pt-BR" w:eastAsia="zh-CN" w:bidi="hi-IN"/>
        </w:rPr>
      </w:r>
    </w:p>
    <w:p>
      <w:pPr>
        <w:pStyle w:val="normal1"/>
        <w:spacing w:lineRule="auto" w:line="240" w:before="0" w:after="0"/>
        <w:ind w:hanging="0" w:start="0"/>
        <w:jc w:val="both"/>
        <w:rPr>
          <w:lang w:val="pt-BR" w:eastAsia="zh-CN" w:bidi="hi-IN"/>
        </w:rPr>
      </w:pPr>
      <w:r>
        <w:rPr>
          <w:rFonts w:eastAsia="Calibri" w:cs="Calibri" w:ascii="Calibri" w:hAnsi="Calibri"/>
          <w:lang w:val="pt-BR" w:eastAsia="zh-CN" w:bidi="hi-IN"/>
        </w:rPr>
        <w:t xml:space="preserve">7.13. O Pagamento será realizado mediante verificação da regularidade fiscal da contratada, caso esteja irregular, havendo a efetiva execução do objeto, os pagamentos serão realizados normalmente, até que se decida pela rescisão do contrato, caso o contratado não regularize sua situação fiscal. </w:t>
      </w:r>
    </w:p>
    <w:p>
      <w:pPr>
        <w:pStyle w:val="normal1"/>
        <w:spacing w:lineRule="auto" w:line="240" w:before="0" w:after="0"/>
        <w:ind w:hanging="0" w:start="0"/>
        <w:jc w:val="both"/>
        <w:rPr>
          <w:rFonts w:ascii="Calibri" w:hAnsi="Calibri" w:eastAsia="Calibri" w:cs="Calibri"/>
          <w:lang w:val="pt-BR" w:eastAsia="zh-CN" w:bidi="hi-IN"/>
        </w:rPr>
      </w:pPr>
      <w:r>
        <w:rPr>
          <w:rFonts w:eastAsia="Calibri" w:cs="Calibri" w:ascii="Calibri" w:hAnsi="Calibri"/>
          <w:lang w:val="pt-BR" w:eastAsia="zh-CN" w:bidi="hi-IN"/>
        </w:rPr>
      </w:r>
    </w:p>
    <w:p>
      <w:pPr>
        <w:pStyle w:val="normal1"/>
        <w:spacing w:lineRule="auto" w:line="240" w:before="0" w:after="0"/>
        <w:ind w:hanging="0" w:start="0"/>
        <w:jc w:val="both"/>
        <w:rPr>
          <w:lang w:val="pt-BR" w:eastAsia="zh-CN" w:bidi="hi-IN"/>
        </w:rPr>
      </w:pPr>
      <w:r>
        <w:rPr>
          <w:rFonts w:eastAsia="Calibri" w:cs="Calibri" w:ascii="Calibri" w:hAnsi="Calibri"/>
          <w:lang w:val="pt-BR" w:eastAsia="zh-CN" w:bidi="hi-IN"/>
        </w:rPr>
        <w:t xml:space="preserve">7.14. O pagamento será efetuado no </w:t>
      </w:r>
      <w:r>
        <w:rPr>
          <w:rFonts w:eastAsia="Calibri" w:cs="Calibri" w:ascii="Calibri" w:hAnsi="Calibri"/>
          <w:b/>
          <w:bCs/>
          <w:u w:val="single"/>
          <w:lang w:val="pt-BR" w:eastAsia="zh-CN" w:bidi="hi-IN"/>
        </w:rPr>
        <w:t>prazo de até 10 (Dez) dias úteis</w:t>
      </w:r>
      <w:r>
        <w:rPr>
          <w:rFonts w:eastAsia="Calibri" w:cs="Calibri" w:ascii="Calibri" w:hAnsi="Calibri"/>
          <w:lang w:val="pt-BR" w:eastAsia="zh-CN" w:bidi="hi-IN"/>
        </w:rPr>
        <w:t xml:space="preserve"> contados da finalização da liquidação da despesa, conforme item anterior. O pagamento será realizado por meio de ordem bancária, para crédito em banco, agência e conta-corrente indicados pelo contratado.</w:t>
      </w:r>
    </w:p>
    <w:p>
      <w:pPr>
        <w:pStyle w:val="normal1"/>
        <w:spacing w:lineRule="auto" w:line="240" w:before="240" w:after="0"/>
        <w:ind w:hanging="0" w:start="0"/>
        <w:jc w:val="both"/>
        <w:rPr>
          <w:lang w:val="pt-BR" w:eastAsia="zh-CN" w:bidi="hi-IN"/>
        </w:rPr>
      </w:pPr>
      <w:r>
        <w:rPr>
          <w:rFonts w:eastAsia="Calibri" w:cs="Calibri" w:ascii="Calibri" w:hAnsi="Calibri"/>
          <w:b/>
          <w:bCs/>
          <w:lang w:val="pt-BR" w:eastAsia="zh-CN" w:bidi="hi-IN"/>
        </w:rPr>
        <w:t>8. ESTIMATIVA DO VALOR DA CONTRATAÇÃO</w:t>
      </w:r>
    </w:p>
    <w:p>
      <w:pPr>
        <w:pStyle w:val="normal1"/>
        <w:spacing w:lineRule="auto" w:line="240" w:before="240" w:after="0"/>
        <w:ind w:hanging="0" w:start="0"/>
        <w:jc w:val="both"/>
        <w:rPr>
          <w:lang w:val="pt-BR" w:eastAsia="zh-CN" w:bidi="hi-IN"/>
        </w:rPr>
      </w:pPr>
      <w:r>
        <w:rPr>
          <w:rFonts w:eastAsia="Calibri" w:cs="Calibri" w:ascii="Calibri" w:hAnsi="Calibri"/>
          <w:lang w:val="pt-BR" w:eastAsia="zh-CN" w:bidi="hi-IN"/>
        </w:rPr>
        <w:t>8.1. Procedimento contou com pesquisa direta com no mínimo 3 (três) fornecedores:</w:t>
      </w:r>
    </w:p>
    <w:p>
      <w:pPr>
        <w:pStyle w:val="normal1"/>
        <w:spacing w:lineRule="auto" w:line="240" w:before="0" w:after="0"/>
        <w:ind w:firstLine="283" w:start="0"/>
        <w:jc w:val="both"/>
        <w:rPr>
          <w:lang w:val="pt-BR" w:eastAsia="zh-CN" w:bidi="hi-IN"/>
        </w:rPr>
      </w:pPr>
      <w:r>
        <w:rPr>
          <w:rFonts w:eastAsia="Calibri" w:cs="Calibri" w:ascii="Calibri" w:hAnsi="Calibri"/>
          <w:lang w:val="pt-BR" w:eastAsia="zh-CN" w:bidi="hi-IN"/>
        </w:rPr>
        <w:t>( x  ) Sim, comprovação em anexo.</w:t>
      </w:r>
    </w:p>
    <w:p>
      <w:pPr>
        <w:pStyle w:val="normal1"/>
        <w:spacing w:lineRule="auto" w:line="240" w:before="0" w:after="0"/>
        <w:ind w:firstLine="283" w:start="0"/>
        <w:jc w:val="both"/>
        <w:rPr>
          <w:lang w:val="pt-BR" w:eastAsia="zh-CN" w:bidi="hi-IN"/>
        </w:rPr>
      </w:pPr>
      <w:r>
        <w:rPr>
          <w:rFonts w:eastAsia="Calibri" w:cs="Calibri" w:ascii="Calibri" w:hAnsi="Calibri"/>
          <w:lang w:val="pt-BR" w:eastAsia="zh-CN" w:bidi="hi-IN"/>
        </w:rPr>
        <w:t xml:space="preserve">(   ) Não, por isso justificamos: </w:t>
      </w:r>
    </w:p>
    <w:p>
      <w:pPr>
        <w:pStyle w:val="normal1"/>
        <w:spacing w:lineRule="auto" w:line="240" w:before="0" w:after="0"/>
        <w:ind w:hanging="0" w:start="0"/>
        <w:jc w:val="both"/>
        <w:rPr>
          <w:rFonts w:ascii="Calibri" w:hAnsi="Calibri" w:eastAsia="Calibri" w:cs="Calibri"/>
          <w:lang w:val="pt-BR" w:eastAsia="zh-CN" w:bidi="hi-IN"/>
        </w:rPr>
      </w:pPr>
      <w:r>
        <w:rPr>
          <w:rFonts w:eastAsia="Calibri" w:cs="Calibri" w:ascii="Calibri" w:hAnsi="Calibri"/>
          <w:lang w:val="pt-BR" w:eastAsia="zh-CN" w:bidi="hi-IN"/>
        </w:rPr>
      </w:r>
    </w:p>
    <w:tbl>
      <w:tblPr>
        <w:tblStyle w:val="Table2"/>
        <w:tblW w:w="8940" w:type="dxa"/>
        <w:jc w:val="start"/>
        <w:tblInd w:w="0" w:type="dxa"/>
        <w:tblLayout w:type="fixed"/>
        <w:tblCellMar>
          <w:top w:w="100" w:type="dxa"/>
          <w:start w:w="100" w:type="dxa"/>
          <w:bottom w:w="100" w:type="dxa"/>
          <w:end w:w="100" w:type="dxa"/>
        </w:tblCellMar>
        <w:tblLook w:val="0600"/>
      </w:tblPr>
      <w:tblGrid>
        <w:gridCol w:w="3284"/>
        <w:gridCol w:w="1411"/>
        <w:gridCol w:w="1425"/>
        <w:gridCol w:w="1410"/>
        <w:gridCol w:w="1410"/>
      </w:tblGrid>
      <w:tr>
        <w:trPr/>
        <w:tc>
          <w:tcPr>
            <w:tcW w:w="3284" w:type="dxa"/>
            <w:tcBorders>
              <w:top w:val="single" w:sz="8" w:space="0" w:color="000000"/>
              <w:start w:val="single" w:sz="8" w:space="0" w:color="000000"/>
              <w:bottom w:val="single" w:sz="8" w:space="0" w:color="000000"/>
              <w:end w:val="single" w:sz="8" w:space="0" w:color="000000"/>
            </w:tcBorders>
            <w:shd w:fill="D9D9D9" w:val="clear"/>
          </w:tcPr>
          <w:p>
            <w:pPr>
              <w:pStyle w:val="normal1"/>
              <w:keepNext w:val="false"/>
              <w:keepLines w:val="false"/>
              <w:widowControl w:val="false"/>
              <w:shd w:val="clear" w:fill="auto"/>
              <w:spacing w:lineRule="auto" w:line="240" w:before="0" w:after="0"/>
              <w:ind w:hanging="0" w:start="0" w:end="0"/>
              <w:jc w:val="center"/>
              <w:rPr>
                <w:lang w:val="pt-BR" w:eastAsia="zh-CN" w:bidi="hi-IN"/>
              </w:rPr>
            </w:pPr>
            <w:r>
              <w:rPr>
                <w:rFonts w:eastAsia="Calibri" w:cs="Calibri" w:ascii="Calibri" w:hAnsi="Calibri"/>
                <w:b/>
                <w:bCs/>
                <w:lang w:val="pt-BR" w:eastAsia="zh-CN" w:bidi="hi-IN"/>
              </w:rPr>
              <w:t>Itens</w:t>
            </w:r>
          </w:p>
        </w:tc>
        <w:tc>
          <w:tcPr>
            <w:tcW w:w="1411" w:type="dxa"/>
            <w:tcBorders>
              <w:top w:val="single" w:sz="8" w:space="0" w:color="000000"/>
              <w:start w:val="single" w:sz="8" w:space="0" w:color="000000"/>
              <w:bottom w:val="single" w:sz="8" w:space="0" w:color="000000"/>
              <w:end w:val="single" w:sz="8" w:space="0" w:color="000000"/>
            </w:tcBorders>
            <w:shd w:fill="D9D9D9" w:val="clear"/>
          </w:tcPr>
          <w:p>
            <w:pPr>
              <w:pStyle w:val="normal1"/>
              <w:keepNext w:val="false"/>
              <w:keepLines w:val="false"/>
              <w:widowControl w:val="false"/>
              <w:shd w:val="clear" w:fill="auto"/>
              <w:spacing w:lineRule="auto" w:line="240" w:before="0" w:after="0"/>
              <w:ind w:hanging="0" w:start="0" w:end="0"/>
              <w:jc w:val="center"/>
              <w:rPr>
                <w:lang w:val="pt-BR" w:eastAsia="zh-CN" w:bidi="hi-IN"/>
              </w:rPr>
            </w:pPr>
            <w:r>
              <w:rPr>
                <w:rFonts w:eastAsia="Calibri" w:cs="Calibri" w:ascii="Calibri" w:hAnsi="Calibri"/>
                <w:b/>
                <w:bCs/>
                <w:lang w:val="pt-BR" w:eastAsia="zh-CN" w:bidi="hi-IN"/>
              </w:rPr>
              <w:t>Fornecedor 1</w:t>
            </w:r>
          </w:p>
        </w:tc>
        <w:tc>
          <w:tcPr>
            <w:tcW w:w="1425" w:type="dxa"/>
            <w:tcBorders>
              <w:top w:val="single" w:sz="8" w:space="0" w:color="000000"/>
              <w:start w:val="single" w:sz="8" w:space="0" w:color="000000"/>
              <w:bottom w:val="single" w:sz="8" w:space="0" w:color="000000"/>
              <w:end w:val="single" w:sz="8" w:space="0" w:color="000000"/>
            </w:tcBorders>
            <w:shd w:fill="D9D9D9" w:val="clear"/>
          </w:tcPr>
          <w:p>
            <w:pPr>
              <w:pStyle w:val="normal1"/>
              <w:keepNext w:val="false"/>
              <w:keepLines w:val="false"/>
              <w:widowControl w:val="false"/>
              <w:shd w:val="clear" w:fill="auto"/>
              <w:spacing w:lineRule="auto" w:line="240" w:before="0" w:after="0"/>
              <w:ind w:hanging="0" w:start="0" w:end="0"/>
              <w:jc w:val="center"/>
              <w:rPr>
                <w:lang w:val="pt-BR" w:eastAsia="zh-CN" w:bidi="hi-IN"/>
              </w:rPr>
            </w:pPr>
            <w:r>
              <w:rPr>
                <w:rFonts w:eastAsia="Calibri" w:cs="Calibri" w:ascii="Calibri" w:hAnsi="Calibri"/>
                <w:b/>
                <w:bCs/>
                <w:lang w:val="pt-BR" w:eastAsia="zh-CN" w:bidi="hi-IN"/>
              </w:rPr>
              <w:t>Fornecedor 2</w:t>
            </w:r>
          </w:p>
        </w:tc>
        <w:tc>
          <w:tcPr>
            <w:tcW w:w="1410" w:type="dxa"/>
            <w:tcBorders>
              <w:top w:val="single" w:sz="8" w:space="0" w:color="000000"/>
              <w:start w:val="single" w:sz="8" w:space="0" w:color="000000"/>
              <w:bottom w:val="single" w:sz="8" w:space="0" w:color="000000"/>
            </w:tcBorders>
            <w:shd w:fill="D9D9D9" w:val="clear"/>
          </w:tcPr>
          <w:p>
            <w:pPr>
              <w:pStyle w:val="normal1"/>
              <w:keepNext w:val="false"/>
              <w:keepLines w:val="false"/>
              <w:widowControl w:val="false"/>
              <w:shd w:val="clear" w:fill="auto"/>
              <w:spacing w:lineRule="auto" w:line="240" w:before="0" w:after="0"/>
              <w:ind w:hanging="0" w:start="0" w:end="0"/>
              <w:jc w:val="center"/>
              <w:rPr>
                <w:lang w:val="pt-BR" w:eastAsia="zh-CN" w:bidi="hi-IN"/>
              </w:rPr>
            </w:pPr>
            <w:r>
              <w:rPr>
                <w:rFonts w:eastAsia="Calibri" w:cs="Calibri" w:ascii="Calibri" w:hAnsi="Calibri"/>
                <w:b/>
                <w:bCs/>
                <w:lang w:val="pt-BR" w:eastAsia="zh-CN" w:bidi="hi-IN"/>
              </w:rPr>
              <w:t>Fornecedor 3</w:t>
            </w:r>
          </w:p>
        </w:tc>
        <w:tc>
          <w:tcPr>
            <w:tcW w:w="1410" w:type="dxa"/>
            <w:tcBorders>
              <w:top w:val="single" w:sz="8" w:space="0" w:color="000000"/>
              <w:start w:val="single" w:sz="8" w:space="0" w:color="000000"/>
              <w:bottom w:val="single" w:sz="8" w:space="0" w:color="000000"/>
              <w:end w:val="single" w:sz="8" w:space="0" w:color="000000"/>
            </w:tcBorders>
            <w:shd w:fill="D9D9D9" w:val="clear"/>
          </w:tcPr>
          <w:p>
            <w:pPr>
              <w:pStyle w:val="normal1"/>
              <w:keepNext w:val="false"/>
              <w:keepLines w:val="false"/>
              <w:widowControl w:val="false"/>
              <w:shd w:val="clear" w:fill="auto"/>
              <w:spacing w:lineRule="auto" w:line="240" w:before="0" w:after="0"/>
              <w:ind w:hanging="0" w:start="0" w:end="0"/>
              <w:jc w:val="center"/>
              <w:rPr>
                <w:rFonts w:ascii="Calibri" w:hAnsi="Calibri"/>
                <w:lang w:val="pt-BR" w:eastAsia="zh-CN" w:bidi="hi-IN"/>
              </w:rPr>
            </w:pPr>
            <w:r>
              <w:rPr>
                <w:rFonts w:ascii="Calibri" w:hAnsi="Calibri"/>
                <w:lang w:val="pt-BR" w:eastAsia="zh-CN" w:bidi="hi-IN"/>
              </w:rPr>
              <w:t>Fornecedor 3</w:t>
            </w:r>
          </w:p>
        </w:tc>
      </w:tr>
      <w:tr>
        <w:trPr/>
        <w:tc>
          <w:tcPr>
            <w:tcW w:w="3284" w:type="dxa"/>
            <w:tcBorders>
              <w:top w:val="single" w:sz="8" w:space="0" w:color="000000"/>
              <w:start w:val="single" w:sz="8" w:space="0" w:color="000000"/>
              <w:bottom w:val="single" w:sz="8" w:space="0" w:color="000000"/>
              <w:end w:val="single" w:sz="8" w:space="0" w:color="000000"/>
            </w:tcBorders>
            <w:shd w:fill="auto" w:val="clear"/>
          </w:tcPr>
          <w:p>
            <w:pPr>
              <w:pStyle w:val="normal1"/>
              <w:keepNext w:val="false"/>
              <w:keepLines w:val="false"/>
              <w:widowControl w:val="false"/>
              <w:shd w:val="clear" w:fill="auto"/>
              <w:spacing w:lineRule="auto" w:line="240" w:before="0" w:after="0"/>
              <w:ind w:hanging="0" w:start="0" w:end="0"/>
              <w:jc w:val="center"/>
              <w:rPr>
                <w:lang w:val="pt-BR" w:eastAsia="zh-CN" w:bidi="hi-IN"/>
              </w:rPr>
            </w:pPr>
            <w:r>
              <w:rPr>
                <w:rFonts w:eastAsia="Calibri" w:cs="Calibri" w:ascii="Calibri" w:hAnsi="Calibri"/>
                <w:b/>
                <w:bCs/>
                <w:lang w:val="pt-BR" w:eastAsia="zh-CN" w:bidi="hi-IN"/>
              </w:rPr>
              <w:t>SERVIÇO DE PINTURA DA COBERTURA NA RUA OSWALDO CRUZ</w:t>
            </w:r>
          </w:p>
        </w:tc>
        <w:tc>
          <w:tcPr>
            <w:tcW w:w="1411" w:type="dxa"/>
            <w:tcBorders>
              <w:top w:val="single" w:sz="8" w:space="0" w:color="000000"/>
              <w:start w:val="single" w:sz="8" w:space="0" w:color="000000"/>
              <w:bottom w:val="single" w:sz="8" w:space="0" w:color="000000"/>
              <w:end w:val="single" w:sz="8" w:space="0" w:color="000000"/>
            </w:tcBorders>
            <w:shd w:fill="auto" w:val="clear"/>
          </w:tcPr>
          <w:p>
            <w:pPr>
              <w:pStyle w:val="normal1"/>
              <w:keepNext w:val="false"/>
              <w:keepLines w:val="false"/>
              <w:widowControl w:val="false"/>
              <w:shd w:val="clear" w:fill="auto"/>
              <w:spacing w:lineRule="auto" w:line="240" w:before="0" w:after="0"/>
              <w:ind w:hanging="0" w:start="0" w:end="0"/>
              <w:jc w:val="start"/>
              <w:rPr>
                <w:lang w:val="pt-BR" w:eastAsia="zh-CN" w:bidi="hi-IN"/>
              </w:rPr>
            </w:pPr>
            <w:r>
              <w:rPr>
                <w:rFonts w:eastAsia="Calibri" w:cs="Calibri" w:ascii="Calibri" w:hAnsi="Calibri"/>
                <w:lang w:val="pt-BR" w:eastAsia="zh-CN" w:bidi="hi-IN"/>
              </w:rPr>
              <w:t xml:space="preserve">R$ 21.750,00 </w:t>
            </w:r>
          </w:p>
        </w:tc>
        <w:tc>
          <w:tcPr>
            <w:tcW w:w="1425" w:type="dxa"/>
            <w:tcBorders>
              <w:top w:val="single" w:sz="8" w:space="0" w:color="000000"/>
              <w:start w:val="single" w:sz="8" w:space="0" w:color="000000"/>
              <w:bottom w:val="single" w:sz="8" w:space="0" w:color="000000"/>
              <w:end w:val="single" w:sz="8" w:space="0" w:color="000000"/>
            </w:tcBorders>
            <w:shd w:fill="auto" w:val="clear"/>
          </w:tcPr>
          <w:p>
            <w:pPr>
              <w:pStyle w:val="normal1"/>
              <w:widowControl w:val="false"/>
              <w:spacing w:lineRule="auto" w:line="240"/>
              <w:rPr>
                <w:lang w:val="pt-BR" w:eastAsia="zh-CN" w:bidi="hi-IN"/>
              </w:rPr>
            </w:pPr>
            <w:r>
              <w:rPr>
                <w:rFonts w:eastAsia="Calibri" w:cs="Calibri" w:ascii="Calibri" w:hAnsi="Calibri"/>
                <w:lang w:val="pt-BR" w:eastAsia="zh-CN" w:bidi="hi-IN"/>
              </w:rPr>
              <w:t>R$ 25.000,00</w:t>
            </w:r>
          </w:p>
        </w:tc>
        <w:tc>
          <w:tcPr>
            <w:tcW w:w="1410" w:type="dxa"/>
            <w:tcBorders>
              <w:top w:val="single" w:sz="8" w:space="0" w:color="000000"/>
              <w:start w:val="single" w:sz="8" w:space="0" w:color="000000"/>
              <w:bottom w:val="single" w:sz="8" w:space="0" w:color="000000"/>
            </w:tcBorders>
            <w:shd w:fill="auto" w:val="clear"/>
          </w:tcPr>
          <w:p>
            <w:pPr>
              <w:pStyle w:val="normal1"/>
              <w:widowControl w:val="false"/>
              <w:spacing w:lineRule="auto" w:line="240"/>
              <w:rPr>
                <w:lang w:val="pt-BR" w:eastAsia="zh-CN" w:bidi="hi-IN"/>
              </w:rPr>
            </w:pPr>
            <w:r>
              <w:rPr>
                <w:rFonts w:eastAsia="Calibri" w:cs="Calibri" w:ascii="Calibri" w:hAnsi="Calibri"/>
                <w:lang w:val="pt-BR" w:eastAsia="zh-CN" w:bidi="hi-IN"/>
              </w:rPr>
              <w:t>R$ 28.400,00</w:t>
            </w:r>
          </w:p>
        </w:tc>
        <w:tc>
          <w:tcPr>
            <w:tcW w:w="1410" w:type="dxa"/>
            <w:tcBorders>
              <w:top w:val="single" w:sz="8" w:space="0" w:color="000000"/>
              <w:start w:val="single" w:sz="8" w:space="0" w:color="000000"/>
              <w:bottom w:val="single" w:sz="8" w:space="0" w:color="000000"/>
              <w:end w:val="single" w:sz="8" w:space="0" w:color="000000"/>
            </w:tcBorders>
            <w:shd w:fill="auto" w:val="clear"/>
          </w:tcPr>
          <w:p>
            <w:pPr>
              <w:pStyle w:val="normal1"/>
              <w:widowControl w:val="false"/>
              <w:spacing w:lineRule="auto" w:line="240"/>
              <w:rPr>
                <w:rFonts w:ascii="Calibri" w:hAnsi="Calibri"/>
                <w:lang w:val="pt-BR" w:eastAsia="zh-CN" w:bidi="hi-IN"/>
              </w:rPr>
            </w:pPr>
            <w:r>
              <w:rPr>
                <w:rFonts w:ascii="Calibri" w:hAnsi="Calibri"/>
                <w:lang w:val="pt-BR" w:eastAsia="zh-CN" w:bidi="hi-IN"/>
              </w:rPr>
              <w:t>R$ 84.317,00</w:t>
            </w:r>
          </w:p>
        </w:tc>
      </w:tr>
      <w:tr>
        <w:trPr>
          <w:trHeight w:val="420" w:hRule="atLeast"/>
        </w:trPr>
        <w:tc>
          <w:tcPr>
            <w:tcW w:w="7530" w:type="dxa"/>
            <w:gridSpan w:val="4"/>
            <w:tcBorders>
              <w:top w:val="single" w:sz="8" w:space="0" w:color="000000"/>
              <w:start w:val="single" w:sz="8" w:space="0" w:color="000000"/>
              <w:bottom w:val="single" w:sz="8" w:space="0" w:color="000000"/>
            </w:tcBorders>
          </w:tcPr>
          <w:p>
            <w:pPr>
              <w:pStyle w:val="normal1"/>
              <w:spacing w:lineRule="auto" w:line="240"/>
              <w:ind w:hanging="0" w:start="0"/>
              <w:jc w:val="both"/>
              <w:rPr>
                <w:lang w:val="pt-BR" w:eastAsia="zh-CN" w:bidi="hi-IN"/>
              </w:rPr>
            </w:pPr>
            <w:r>
              <w:rPr>
                <w:rFonts w:eastAsia="Calibri" w:cs="Calibri" w:ascii="Calibri" w:hAnsi="Calibri"/>
                <w:lang w:val="pt-BR" w:eastAsia="zh-CN" w:bidi="hi-IN"/>
              </w:rPr>
              <w:t>J</w:t>
            </w:r>
            <w:r>
              <w:rPr>
                <w:rFonts w:eastAsia="Calibri" w:cs="Calibri" w:ascii="Calibri" w:hAnsi="Calibri"/>
                <w:b/>
                <w:bCs/>
                <w:lang w:val="pt-BR" w:eastAsia="zh-CN" w:bidi="hi-IN"/>
              </w:rPr>
              <w:t>ustifique o motivo da escolha desses fornecedores para a cotação inicial:</w:t>
            </w:r>
            <w:r>
              <w:rPr>
                <w:rFonts w:eastAsia="Calibri" w:cs="Calibri" w:ascii="Calibri" w:hAnsi="Calibri"/>
                <w:lang w:val="pt-BR" w:eastAsia="zh-CN" w:bidi="hi-IN"/>
              </w:rPr>
              <w:t xml:space="preserve">  Empresas atuantes na região com condições de emissão da ART.</w:t>
            </w:r>
          </w:p>
        </w:tc>
        <w:tc>
          <w:tcPr>
            <w:tcW w:w="1410" w:type="dxa"/>
            <w:tcBorders>
              <w:top w:val="single" w:sz="8" w:space="0" w:color="000000"/>
              <w:start w:val="single" w:sz="8" w:space="0" w:color="000000"/>
              <w:bottom w:val="single" w:sz="8" w:space="0" w:color="000000"/>
              <w:end w:val="single" w:sz="8" w:space="0" w:color="000000"/>
            </w:tcBorders>
          </w:tcPr>
          <w:p>
            <w:pPr>
              <w:pStyle w:val="normal1"/>
              <w:spacing w:lineRule="auto" w:line="240"/>
              <w:ind w:hanging="0" w:start="0"/>
              <w:jc w:val="both"/>
              <w:rPr>
                <w:rFonts w:ascii="Calibri" w:hAnsi="Calibri" w:eastAsia="Calibri" w:cs="Calibri"/>
                <w:lang w:val="pt-BR" w:eastAsia="zh-CN" w:bidi="hi-IN"/>
              </w:rPr>
            </w:pPr>
            <w:r>
              <w:rPr>
                <w:rFonts w:eastAsia="Calibri" w:cs="Calibri" w:ascii="Calibri" w:hAnsi="Calibri"/>
                <w:lang w:val="pt-BR" w:eastAsia="zh-CN" w:bidi="hi-IN"/>
              </w:rPr>
            </w:r>
          </w:p>
        </w:tc>
      </w:tr>
      <w:tr>
        <w:trPr>
          <w:trHeight w:val="420" w:hRule="atLeast"/>
        </w:trPr>
        <w:tc>
          <w:tcPr>
            <w:tcW w:w="7530" w:type="dxa"/>
            <w:gridSpan w:val="4"/>
            <w:tcBorders>
              <w:top w:val="single" w:sz="8" w:space="0" w:color="000000"/>
              <w:start w:val="single" w:sz="8" w:space="0" w:color="000000"/>
              <w:bottom w:val="single" w:sz="8" w:space="0" w:color="000000"/>
            </w:tcBorders>
            <w:shd w:fill="auto" w:val="clear"/>
          </w:tcPr>
          <w:p>
            <w:pPr>
              <w:pStyle w:val="normal1"/>
              <w:spacing w:lineRule="auto" w:line="240"/>
              <w:ind w:hanging="0" w:start="0"/>
              <w:jc w:val="both"/>
              <w:rPr>
                <w:lang w:val="pt-BR" w:eastAsia="zh-CN" w:bidi="hi-IN"/>
              </w:rPr>
            </w:pPr>
            <w:r>
              <w:rPr>
                <w:rFonts w:eastAsia="Calibri" w:cs="Calibri" w:ascii="Calibri" w:hAnsi="Calibri"/>
                <w:lang w:val="pt-BR" w:eastAsia="zh-CN" w:bidi="hi-IN"/>
              </w:rPr>
              <w:t>Fornecedor 1</w:t>
            </w:r>
            <w:r>
              <w:rPr>
                <w:rFonts w:eastAsia="Calibri" w:cs="Calibri" w:ascii="Calibri" w:hAnsi="Calibri"/>
                <w:b/>
                <w:bCs/>
                <w:lang w:val="pt-BR" w:eastAsia="zh-CN" w:bidi="hi-IN"/>
              </w:rPr>
              <w:t>:  Lucca Engenharia LTDA 10.742.119/0001-93</w:t>
            </w:r>
          </w:p>
        </w:tc>
        <w:tc>
          <w:tcPr>
            <w:tcW w:w="1410" w:type="dxa"/>
            <w:tcBorders>
              <w:top w:val="single" w:sz="8" w:space="0" w:color="000000"/>
              <w:start w:val="single" w:sz="8" w:space="0" w:color="000000"/>
              <w:bottom w:val="single" w:sz="8" w:space="0" w:color="000000"/>
              <w:end w:val="single" w:sz="8" w:space="0" w:color="000000"/>
            </w:tcBorders>
            <w:shd w:fill="auto" w:val="clear"/>
          </w:tcPr>
          <w:p>
            <w:pPr>
              <w:pStyle w:val="normal1"/>
              <w:spacing w:lineRule="auto" w:line="240"/>
              <w:ind w:hanging="0" w:start="0"/>
              <w:jc w:val="both"/>
              <w:rPr>
                <w:rFonts w:ascii="Calibri" w:hAnsi="Calibri" w:eastAsia="Calibri" w:cs="Calibri"/>
                <w:b/>
                <w:bCs/>
                <w:lang w:val="pt-BR" w:eastAsia="zh-CN" w:bidi="hi-IN"/>
              </w:rPr>
            </w:pPr>
            <w:r>
              <w:rPr>
                <w:rFonts w:eastAsia="Calibri" w:cs="Calibri" w:ascii="Calibri" w:hAnsi="Calibri"/>
                <w:b/>
                <w:bCs/>
                <w:lang w:val="pt-BR" w:eastAsia="zh-CN" w:bidi="hi-IN"/>
              </w:rPr>
            </w:r>
          </w:p>
        </w:tc>
      </w:tr>
      <w:tr>
        <w:trPr>
          <w:trHeight w:val="420" w:hRule="atLeast"/>
        </w:trPr>
        <w:tc>
          <w:tcPr>
            <w:tcW w:w="7530" w:type="dxa"/>
            <w:gridSpan w:val="4"/>
            <w:tcBorders>
              <w:top w:val="single" w:sz="8" w:space="0" w:color="000000"/>
              <w:start w:val="single" w:sz="8" w:space="0" w:color="000000"/>
              <w:bottom w:val="single" w:sz="8" w:space="0" w:color="000000"/>
            </w:tcBorders>
            <w:shd w:fill="auto" w:val="clear"/>
          </w:tcPr>
          <w:p>
            <w:pPr>
              <w:pStyle w:val="normal1"/>
              <w:spacing w:lineRule="auto" w:line="240"/>
              <w:ind w:hanging="0" w:start="0"/>
              <w:jc w:val="both"/>
              <w:rPr>
                <w:lang w:val="pt-BR" w:eastAsia="zh-CN" w:bidi="hi-IN"/>
              </w:rPr>
            </w:pPr>
            <w:r>
              <w:rPr>
                <w:rFonts w:eastAsia="Calibri" w:cs="Calibri" w:ascii="Calibri" w:hAnsi="Calibri"/>
                <w:lang w:val="pt-BR" w:eastAsia="zh-CN" w:bidi="hi-IN"/>
              </w:rPr>
              <w:t>Fornecedor 2</w:t>
            </w:r>
            <w:r>
              <w:rPr>
                <w:rFonts w:eastAsia="Calibri" w:cs="Calibri" w:ascii="Calibri" w:hAnsi="Calibri"/>
                <w:b/>
                <w:bCs/>
                <w:lang w:val="pt-BR" w:eastAsia="zh-CN" w:bidi="hi-IN"/>
              </w:rPr>
              <w:t>: Fernando da Silva Modeski 23.375.998/0001-04</w:t>
            </w:r>
          </w:p>
        </w:tc>
        <w:tc>
          <w:tcPr>
            <w:tcW w:w="1410" w:type="dxa"/>
            <w:tcBorders>
              <w:top w:val="single" w:sz="8" w:space="0" w:color="000000"/>
              <w:start w:val="single" w:sz="8" w:space="0" w:color="000000"/>
              <w:bottom w:val="single" w:sz="8" w:space="0" w:color="000000"/>
              <w:end w:val="single" w:sz="8" w:space="0" w:color="000000"/>
            </w:tcBorders>
            <w:shd w:fill="auto" w:val="clear"/>
          </w:tcPr>
          <w:p>
            <w:pPr>
              <w:pStyle w:val="normal1"/>
              <w:spacing w:lineRule="auto" w:line="240"/>
              <w:ind w:hanging="0" w:start="0"/>
              <w:jc w:val="both"/>
              <w:rPr>
                <w:rFonts w:ascii="Calibri" w:hAnsi="Calibri" w:eastAsia="Calibri" w:cs="Calibri"/>
                <w:b/>
                <w:bCs/>
                <w:lang w:val="pt-BR" w:eastAsia="zh-CN" w:bidi="hi-IN"/>
              </w:rPr>
            </w:pPr>
            <w:r>
              <w:rPr>
                <w:rFonts w:eastAsia="Calibri" w:cs="Calibri" w:ascii="Calibri" w:hAnsi="Calibri"/>
                <w:b/>
                <w:bCs/>
                <w:lang w:val="pt-BR" w:eastAsia="zh-CN" w:bidi="hi-IN"/>
              </w:rPr>
            </w:r>
          </w:p>
        </w:tc>
      </w:tr>
      <w:tr>
        <w:trPr>
          <w:trHeight w:val="420" w:hRule="atLeast"/>
        </w:trPr>
        <w:tc>
          <w:tcPr>
            <w:tcW w:w="7530" w:type="dxa"/>
            <w:gridSpan w:val="4"/>
            <w:tcBorders>
              <w:top w:val="single" w:sz="8" w:space="0" w:color="000000"/>
              <w:start w:val="single" w:sz="8" w:space="0" w:color="000000"/>
              <w:bottom w:val="single" w:sz="8" w:space="0" w:color="000000"/>
            </w:tcBorders>
            <w:shd w:fill="auto" w:val="clear"/>
          </w:tcPr>
          <w:p>
            <w:pPr>
              <w:pStyle w:val="normal1"/>
              <w:spacing w:lineRule="auto" w:line="240"/>
              <w:ind w:hanging="0" w:start="0"/>
              <w:jc w:val="both"/>
              <w:rPr>
                <w:lang w:val="pt-BR" w:eastAsia="zh-CN" w:bidi="hi-IN"/>
              </w:rPr>
            </w:pPr>
            <w:r>
              <w:rPr>
                <w:rFonts w:eastAsia="Calibri" w:cs="Calibri" w:ascii="Calibri" w:hAnsi="Calibri"/>
                <w:lang w:val="pt-BR" w:eastAsia="zh-CN" w:bidi="hi-IN"/>
              </w:rPr>
              <w:t>Fornecedor 3:</w:t>
            </w:r>
            <w:r>
              <w:rPr>
                <w:rFonts w:eastAsia="Calibri" w:cs="Calibri" w:ascii="Calibri" w:hAnsi="Calibri"/>
                <w:b/>
                <w:bCs/>
                <w:lang w:val="pt-BR" w:eastAsia="zh-CN" w:bidi="hi-IN"/>
              </w:rPr>
              <w:t xml:space="preserve">  Klemann Pinturas LTDA 17.046.981/0001-00</w:t>
            </w:r>
          </w:p>
        </w:tc>
        <w:tc>
          <w:tcPr>
            <w:tcW w:w="1410" w:type="dxa"/>
            <w:tcBorders>
              <w:top w:val="single" w:sz="8" w:space="0" w:color="000000"/>
              <w:start w:val="single" w:sz="8" w:space="0" w:color="000000"/>
              <w:bottom w:val="single" w:sz="8" w:space="0" w:color="000000"/>
              <w:end w:val="single" w:sz="8" w:space="0" w:color="000000"/>
            </w:tcBorders>
            <w:shd w:fill="auto" w:val="clear"/>
          </w:tcPr>
          <w:p>
            <w:pPr>
              <w:pStyle w:val="normal1"/>
              <w:spacing w:lineRule="auto" w:line="240"/>
              <w:ind w:hanging="0" w:start="0"/>
              <w:jc w:val="both"/>
              <w:rPr>
                <w:rFonts w:ascii="Calibri" w:hAnsi="Calibri" w:eastAsia="Calibri" w:cs="Calibri"/>
                <w:b/>
                <w:bCs/>
                <w:lang w:val="pt-BR" w:eastAsia="zh-CN" w:bidi="hi-IN"/>
              </w:rPr>
            </w:pPr>
            <w:r>
              <w:rPr>
                <w:rFonts w:eastAsia="Calibri" w:cs="Calibri" w:ascii="Calibri" w:hAnsi="Calibri"/>
                <w:b/>
                <w:bCs/>
                <w:lang w:val="pt-BR" w:eastAsia="zh-CN" w:bidi="hi-IN"/>
              </w:rPr>
            </w:r>
          </w:p>
        </w:tc>
      </w:tr>
      <w:tr>
        <w:trPr>
          <w:trHeight w:val="420" w:hRule="atLeast"/>
        </w:trPr>
        <w:tc>
          <w:tcPr>
            <w:tcW w:w="7530" w:type="dxa"/>
            <w:gridSpan w:val="4"/>
            <w:tcBorders>
              <w:start w:val="single" w:sz="8" w:space="0" w:color="000000"/>
              <w:bottom w:val="single" w:sz="8" w:space="0" w:color="000000"/>
            </w:tcBorders>
            <w:shd w:fill="auto" w:val="clear"/>
          </w:tcPr>
          <w:p>
            <w:pPr>
              <w:pStyle w:val="normal1"/>
              <w:spacing w:lineRule="auto" w:line="240"/>
              <w:ind w:hanging="0" w:start="0"/>
              <w:jc w:val="both"/>
              <w:rPr>
                <w:lang w:val="pt-BR" w:eastAsia="zh-CN" w:bidi="hi-IN"/>
              </w:rPr>
            </w:pPr>
            <w:r>
              <w:rPr>
                <w:lang w:val="pt-BR" w:eastAsia="zh-CN" w:bidi="hi-IN"/>
              </w:rPr>
              <w:t>Fornecedor 4: JNW Construtora 55.145.990/0001-48</w:t>
            </w:r>
          </w:p>
        </w:tc>
        <w:tc>
          <w:tcPr>
            <w:tcW w:w="1410" w:type="dxa"/>
            <w:tcBorders>
              <w:start w:val="single" w:sz="8" w:space="0" w:color="000000"/>
              <w:bottom w:val="single" w:sz="8" w:space="0" w:color="000000"/>
              <w:end w:val="single" w:sz="8" w:space="0" w:color="000000"/>
            </w:tcBorders>
            <w:shd w:fill="auto" w:val="clear"/>
          </w:tcPr>
          <w:p>
            <w:pPr>
              <w:pStyle w:val="normal1"/>
              <w:spacing w:lineRule="auto" w:line="240"/>
              <w:ind w:hanging="0" w:start="0"/>
              <w:jc w:val="both"/>
              <w:rPr>
                <w:rFonts w:ascii="Calibri" w:hAnsi="Calibri" w:eastAsia="Calibri" w:cs="Calibri"/>
                <w:b/>
                <w:bCs/>
                <w:lang w:val="pt-BR" w:eastAsia="zh-CN" w:bidi="hi-IN"/>
              </w:rPr>
            </w:pPr>
            <w:r>
              <w:rPr>
                <w:rFonts w:eastAsia="Calibri" w:cs="Calibri" w:ascii="Calibri" w:hAnsi="Calibri"/>
                <w:b/>
                <w:bCs/>
                <w:lang w:val="pt-BR" w:eastAsia="zh-CN" w:bidi="hi-IN"/>
              </w:rPr>
            </w:r>
          </w:p>
        </w:tc>
      </w:tr>
    </w:tbl>
    <w:p>
      <w:pPr>
        <w:pStyle w:val="normal1"/>
        <w:spacing w:lineRule="auto" w:line="240" w:before="240" w:after="0"/>
        <w:ind w:hanging="0" w:start="0"/>
        <w:jc w:val="both"/>
        <w:rPr>
          <w:lang w:val="pt-BR" w:eastAsia="zh-CN" w:bidi="hi-IN"/>
        </w:rPr>
      </w:pPr>
      <w:r>
        <w:rPr>
          <w:rFonts w:eastAsia="Calibri" w:cs="Calibri" w:ascii="Calibri" w:hAnsi="Calibri"/>
          <w:b/>
          <w:bCs/>
          <w:lang w:val="pt-BR" w:eastAsia="zh-CN" w:bidi="hi-IN"/>
        </w:rPr>
        <w:t xml:space="preserve">8.2. Procedimento contou com dados de pesquisa pública, contratações similares feitas pela Administração Pública ou pesquisa na base nacional de notas fiscais eletrônicas: </w:t>
      </w:r>
    </w:p>
    <w:p>
      <w:pPr>
        <w:pStyle w:val="normal1"/>
        <w:spacing w:lineRule="auto" w:line="240"/>
        <w:ind w:firstLine="283"/>
        <w:jc w:val="both"/>
        <w:rPr>
          <w:lang w:val="pt-BR" w:eastAsia="zh-CN" w:bidi="hi-IN"/>
        </w:rPr>
      </w:pPr>
      <w:r>
        <w:rPr>
          <w:rFonts w:eastAsia="Calibri" w:cs="Calibri" w:ascii="Calibri" w:hAnsi="Calibri"/>
          <w:b/>
          <w:bCs/>
          <w:lang w:val="pt-BR" w:eastAsia="zh-CN" w:bidi="hi-IN"/>
        </w:rPr>
        <w:t>(   ) Sim, comprovação em anexo.</w:t>
      </w:r>
    </w:p>
    <w:p>
      <w:pPr>
        <w:pStyle w:val="normal1"/>
        <w:spacing w:lineRule="auto" w:line="240"/>
        <w:ind w:firstLine="283"/>
        <w:jc w:val="both"/>
        <w:rPr>
          <w:lang w:val="pt-BR" w:eastAsia="zh-CN" w:bidi="hi-IN"/>
        </w:rPr>
      </w:pPr>
      <w:r>
        <w:rPr>
          <w:rFonts w:eastAsia="Calibri" w:cs="Calibri" w:ascii="Calibri" w:hAnsi="Calibri"/>
          <w:b/>
          <w:bCs/>
          <w:lang w:val="pt-BR" w:eastAsia="zh-CN" w:bidi="hi-IN"/>
        </w:rPr>
        <w:t xml:space="preserve">( x  ) Não, por isso justificamos: </w:t>
      </w:r>
    </w:p>
    <w:p>
      <w:pPr>
        <w:pStyle w:val="BodyText"/>
        <w:suppressAutoHyphens w:val="true"/>
        <w:spacing w:lineRule="auto" w:line="240"/>
        <w:jc w:val="both"/>
        <w:rPr>
          <w:lang w:val="pt-BR" w:eastAsia="zh-CN" w:bidi="hi-IN"/>
        </w:rPr>
      </w:pPr>
      <w:r>
        <w:rPr>
          <w:rFonts w:eastAsia="Calibri" w:cs="Calibri" w:ascii="Calibri" w:hAnsi="Calibri"/>
          <w:lang w:val="pt-BR" w:eastAsia="zh-CN" w:bidi="hi-IN"/>
        </w:rPr>
        <w:t>A pesquisa de preços para a contratação dos serviços de manutenção e pintura da cobertura localizada na Rua Oswaldo Cruz, Centro, no município de Igrejinha/RS, encontrou limitações quanto à identificação de referências equivalentes em Atas de Registro de Preços, contratações públicas ou bancos de preços, tal dificuldade decorre das características específicas do objeto, uma vez que a cobertura é composta por estruturas metálicas de geometrias variadas, incluindo colunas, arcos, barras, braços laterais e calhas, cujas dimensões e formatos impossibilitam a apuração precisa da área total de pintura por meio de simples medição em metros quadrados. A execução dos serviços depende da análise do conjunto estrutural, da complexidade de acesso e das condições de conservação existentes. Além disso, a composição do custo não se restringe à área efetivamente pintada. O valor do serviço é influenciado por diversos fatores, tais como a necessidade de higienização das estruturas, remoção de ferrugem, preparação das superfícies, aplicação de fundo anticorrosivo, trabalho em altura, utilização de andaimes, plataformas elevatórias, equipamentos de lavagem, sistemas de segurança, mão de obra especializada e demais equipamentos indispensáveis para a execução dos serviços, esses elementos variam significativamente conforme o projeto, as características construtivas e as condições de cada estrutura, impossibilitando a comparação com outras contratações públicas que, embora possuam objeto semelhante, apresentam quantitativos, níveis de dificuldade e metodologias executivas distintos.</w:t>
      </w:r>
    </w:p>
    <w:p>
      <w:pPr>
        <w:pStyle w:val="BodyText"/>
        <w:suppressAutoHyphens w:val="true"/>
        <w:spacing w:lineRule="auto" w:line="240"/>
        <w:jc w:val="both"/>
        <w:rPr>
          <w:lang w:val="pt-BR" w:eastAsia="zh-CN" w:bidi="hi-IN"/>
        </w:rPr>
      </w:pPr>
      <w:r>
        <w:rPr>
          <w:rFonts w:eastAsia="Calibri" w:cs="Calibri" w:ascii="Calibri" w:hAnsi="Calibri"/>
          <w:lang w:val="pt-BR" w:eastAsia="zh-CN" w:bidi="hi-IN"/>
        </w:rPr>
        <w:t>Dessa forma, não foram identificadas Atas de Registro de Preços ou contratações públicas que apresentassem equivalência técnica suficiente para servir como parâmetro confiável de formação do preço estimado. Em razão dessa particularidade, a estimativa de custos deverá ser obtida mediante pesquisa direta junto a empresas especializadas no ramo, capazes de avaliar as condições específicas da estrutura e elaborar propostas compatíveis com as exigências técnicas do objeto, observando os princípios da razoabilidade, da economicidade e da busca da proposta mais vantajosa para a Administração, em conformidade com a Lei nº 14.133/2021.</w:t>
      </w:r>
    </w:p>
    <w:p>
      <w:pPr>
        <w:pStyle w:val="normal1"/>
        <w:spacing w:lineRule="auto" w:line="240"/>
        <w:ind w:firstLine="283"/>
        <w:jc w:val="both"/>
        <w:rPr>
          <w:lang w:val="pt-BR" w:eastAsia="zh-CN" w:bidi="hi-IN"/>
        </w:rPr>
      </w:pPr>
      <w:r>
        <w:rPr>
          <w:rFonts w:eastAsia="Calibri" w:cs="Calibri" w:ascii="Calibri" w:hAnsi="Calibri"/>
          <w:lang w:val="pt-BR" w:eastAsia="zh-CN" w:bidi="hi-IN"/>
        </w:rPr>
        <w:t xml:space="preserve">  </w:t>
      </w:r>
    </w:p>
    <w:p>
      <w:pPr>
        <w:pStyle w:val="normal1"/>
        <w:spacing w:lineRule="auto" w:line="240"/>
        <w:jc w:val="both"/>
        <w:rPr>
          <w:rFonts w:ascii="Calibri" w:hAnsi="Calibri" w:eastAsia="Calibri" w:cs="Calibri"/>
          <w:lang w:val="pt-BR" w:eastAsia="zh-CN" w:bidi="hi-IN"/>
        </w:rPr>
      </w:pPr>
      <w:r>
        <w:rPr>
          <w:rFonts w:eastAsia="Calibri" w:cs="Calibri" w:ascii="Calibri" w:hAnsi="Calibri"/>
          <w:lang w:val="pt-BR" w:eastAsia="zh-CN" w:bidi="hi-IN"/>
        </w:rPr>
      </w:r>
    </w:p>
    <w:tbl>
      <w:tblPr>
        <w:tblStyle w:val="Table3"/>
        <w:tblW w:w="9029" w:type="dxa"/>
        <w:jc w:val="start"/>
        <w:tblInd w:w="0" w:type="dxa"/>
        <w:tblLayout w:type="fixed"/>
        <w:tblCellMar>
          <w:top w:w="100" w:type="dxa"/>
          <w:start w:w="100" w:type="dxa"/>
          <w:bottom w:w="100" w:type="dxa"/>
          <w:end w:w="100" w:type="dxa"/>
        </w:tblCellMar>
        <w:tblLook w:val="0600"/>
      </w:tblPr>
      <w:tblGrid>
        <w:gridCol w:w="3009"/>
        <w:gridCol w:w="3010"/>
        <w:gridCol w:w="3010"/>
      </w:tblGrid>
      <w:tr>
        <w:trPr/>
        <w:tc>
          <w:tcPr>
            <w:tcW w:w="3009" w:type="dxa"/>
            <w:tcBorders>
              <w:top w:val="single" w:sz="8" w:space="0" w:color="000000"/>
              <w:start w:val="single" w:sz="8" w:space="0" w:color="000000"/>
              <w:bottom w:val="single" w:sz="8" w:space="0" w:color="000000"/>
              <w:end w:val="single" w:sz="8" w:space="0" w:color="000000"/>
            </w:tcBorders>
            <w:shd w:fill="D9D9D9" w:val="clear"/>
          </w:tcPr>
          <w:p>
            <w:pPr>
              <w:pStyle w:val="normal1"/>
              <w:widowControl w:val="false"/>
              <w:spacing w:lineRule="auto" w:line="240"/>
              <w:jc w:val="center"/>
              <w:rPr>
                <w:lang w:val="pt-BR" w:eastAsia="zh-CN" w:bidi="hi-IN"/>
              </w:rPr>
            </w:pPr>
            <w:r>
              <w:rPr>
                <w:rFonts w:eastAsia="Calibri" w:cs="Calibri" w:ascii="Calibri" w:hAnsi="Calibri"/>
                <w:b/>
                <w:bCs/>
                <w:lang w:val="pt-BR" w:eastAsia="zh-CN" w:bidi="hi-IN"/>
              </w:rPr>
              <w:t>Descrição do Item</w:t>
            </w:r>
          </w:p>
        </w:tc>
        <w:tc>
          <w:tcPr>
            <w:tcW w:w="3010" w:type="dxa"/>
            <w:tcBorders>
              <w:top w:val="single" w:sz="8" w:space="0" w:color="000000"/>
              <w:start w:val="single" w:sz="8" w:space="0" w:color="000000"/>
              <w:bottom w:val="single" w:sz="8" w:space="0" w:color="000000"/>
              <w:end w:val="single" w:sz="8" w:space="0" w:color="000000"/>
            </w:tcBorders>
            <w:shd w:fill="D9D9D9" w:val="clear"/>
          </w:tcPr>
          <w:p>
            <w:pPr>
              <w:pStyle w:val="normal1"/>
              <w:widowControl w:val="false"/>
              <w:spacing w:lineRule="auto" w:line="240"/>
              <w:jc w:val="center"/>
              <w:rPr>
                <w:lang w:val="pt-BR" w:eastAsia="zh-CN" w:bidi="hi-IN"/>
              </w:rPr>
            </w:pPr>
            <w:r>
              <w:rPr>
                <w:rFonts w:eastAsia="Calibri" w:cs="Calibri" w:ascii="Calibri" w:hAnsi="Calibri"/>
                <w:b/>
                <w:bCs/>
                <w:lang w:val="pt-BR" w:eastAsia="zh-CN" w:bidi="hi-IN"/>
              </w:rPr>
              <w:t>Fonte da Pesquisa</w:t>
            </w:r>
          </w:p>
        </w:tc>
        <w:tc>
          <w:tcPr>
            <w:tcW w:w="3010" w:type="dxa"/>
            <w:tcBorders>
              <w:top w:val="single" w:sz="8" w:space="0" w:color="000000"/>
              <w:start w:val="single" w:sz="8" w:space="0" w:color="000000"/>
              <w:bottom w:val="single" w:sz="8" w:space="0" w:color="000000"/>
              <w:end w:val="single" w:sz="8" w:space="0" w:color="000000"/>
            </w:tcBorders>
            <w:shd w:fill="D9D9D9" w:val="clear"/>
          </w:tcPr>
          <w:p>
            <w:pPr>
              <w:pStyle w:val="normal1"/>
              <w:widowControl w:val="false"/>
              <w:spacing w:lineRule="auto" w:line="240"/>
              <w:jc w:val="center"/>
              <w:rPr>
                <w:lang w:val="pt-BR" w:eastAsia="zh-CN" w:bidi="hi-IN"/>
              </w:rPr>
            </w:pPr>
            <w:r>
              <w:rPr>
                <w:rFonts w:eastAsia="Calibri" w:cs="Calibri" w:ascii="Calibri" w:hAnsi="Calibri"/>
                <w:b/>
                <w:bCs/>
                <w:lang w:val="pt-BR" w:eastAsia="zh-CN" w:bidi="hi-IN"/>
              </w:rPr>
              <w:t>Valor Unitário</w:t>
            </w:r>
          </w:p>
        </w:tc>
      </w:tr>
      <w:tr>
        <w:trPr/>
        <w:tc>
          <w:tcPr>
            <w:tcW w:w="3009" w:type="dxa"/>
            <w:tcBorders>
              <w:top w:val="single" w:sz="8" w:space="0" w:color="000000"/>
              <w:start w:val="single" w:sz="8" w:space="0" w:color="000000"/>
              <w:bottom w:val="single" w:sz="8" w:space="0" w:color="000000"/>
              <w:end w:val="single" w:sz="8" w:space="0" w:color="000000"/>
            </w:tcBorders>
            <w:shd w:fill="auto" w:val="clear"/>
          </w:tcPr>
          <w:p>
            <w:pPr>
              <w:pStyle w:val="normal1"/>
              <w:widowControl w:val="false"/>
              <w:spacing w:lineRule="auto" w:line="240"/>
              <w:rPr>
                <w:rFonts w:ascii="Calibri" w:hAnsi="Calibri" w:eastAsia="Calibri" w:cs="Calibri"/>
                <w:lang w:val="pt-BR" w:eastAsia="zh-CN" w:bidi="hi-IN"/>
              </w:rPr>
            </w:pPr>
            <w:r>
              <w:rPr>
                <w:rFonts w:eastAsia="Calibri" w:cs="Calibri" w:ascii="Calibri" w:hAnsi="Calibri"/>
                <w:lang w:val="pt-BR" w:eastAsia="zh-CN" w:bidi="hi-IN"/>
              </w:rPr>
            </w:r>
          </w:p>
        </w:tc>
        <w:tc>
          <w:tcPr>
            <w:tcW w:w="3010" w:type="dxa"/>
            <w:tcBorders>
              <w:top w:val="single" w:sz="8" w:space="0" w:color="000000"/>
              <w:start w:val="single" w:sz="8" w:space="0" w:color="000000"/>
              <w:bottom w:val="single" w:sz="8" w:space="0" w:color="000000"/>
              <w:end w:val="single" w:sz="8" w:space="0" w:color="000000"/>
            </w:tcBorders>
            <w:shd w:fill="auto" w:val="clear"/>
          </w:tcPr>
          <w:p>
            <w:pPr>
              <w:pStyle w:val="normal1"/>
              <w:widowControl w:val="false"/>
              <w:spacing w:lineRule="auto" w:line="240"/>
              <w:rPr>
                <w:rFonts w:ascii="Calibri" w:hAnsi="Calibri" w:eastAsia="Calibri" w:cs="Calibri"/>
                <w:lang w:val="pt-BR" w:eastAsia="zh-CN" w:bidi="hi-IN"/>
              </w:rPr>
            </w:pPr>
            <w:r>
              <w:rPr>
                <w:rFonts w:eastAsia="Calibri" w:cs="Calibri" w:ascii="Calibri" w:hAnsi="Calibri"/>
                <w:lang w:val="pt-BR" w:eastAsia="zh-CN" w:bidi="hi-IN"/>
              </w:rPr>
            </w:r>
          </w:p>
        </w:tc>
        <w:tc>
          <w:tcPr>
            <w:tcW w:w="3010" w:type="dxa"/>
            <w:tcBorders>
              <w:top w:val="single" w:sz="8" w:space="0" w:color="000000"/>
              <w:start w:val="single" w:sz="8" w:space="0" w:color="000000"/>
              <w:bottom w:val="single" w:sz="8" w:space="0" w:color="000000"/>
              <w:end w:val="single" w:sz="8" w:space="0" w:color="000000"/>
            </w:tcBorders>
            <w:shd w:fill="auto" w:val="clear"/>
          </w:tcPr>
          <w:p>
            <w:pPr>
              <w:pStyle w:val="normal1"/>
              <w:widowControl w:val="false"/>
              <w:spacing w:lineRule="auto" w:line="240"/>
              <w:rPr>
                <w:rFonts w:ascii="Calibri" w:hAnsi="Calibri" w:eastAsia="Calibri" w:cs="Calibri"/>
                <w:lang w:val="pt-BR" w:eastAsia="zh-CN" w:bidi="hi-IN"/>
              </w:rPr>
            </w:pPr>
            <w:r>
              <w:rPr>
                <w:rFonts w:eastAsia="Calibri" w:cs="Calibri" w:ascii="Calibri" w:hAnsi="Calibri"/>
                <w:lang w:val="pt-BR" w:eastAsia="zh-CN" w:bidi="hi-IN"/>
              </w:rPr>
            </w:r>
          </w:p>
        </w:tc>
      </w:tr>
      <w:tr>
        <w:trPr/>
        <w:tc>
          <w:tcPr>
            <w:tcW w:w="3009" w:type="dxa"/>
            <w:tcBorders>
              <w:top w:val="single" w:sz="8" w:space="0" w:color="000000"/>
              <w:start w:val="single" w:sz="8" w:space="0" w:color="000000"/>
              <w:bottom w:val="single" w:sz="8" w:space="0" w:color="000000"/>
              <w:end w:val="single" w:sz="8" w:space="0" w:color="000000"/>
            </w:tcBorders>
            <w:shd w:fill="auto" w:val="clear"/>
          </w:tcPr>
          <w:p>
            <w:pPr>
              <w:pStyle w:val="normal1"/>
              <w:widowControl w:val="false"/>
              <w:spacing w:lineRule="auto" w:line="240"/>
              <w:rPr>
                <w:rFonts w:ascii="Calibri" w:hAnsi="Calibri" w:eastAsia="Calibri" w:cs="Calibri"/>
                <w:lang w:val="pt-BR" w:eastAsia="zh-CN" w:bidi="hi-IN"/>
              </w:rPr>
            </w:pPr>
            <w:r>
              <w:rPr>
                <w:rFonts w:eastAsia="Calibri" w:cs="Calibri" w:ascii="Calibri" w:hAnsi="Calibri"/>
                <w:lang w:val="pt-BR" w:eastAsia="zh-CN" w:bidi="hi-IN"/>
              </w:rPr>
            </w:r>
          </w:p>
        </w:tc>
        <w:tc>
          <w:tcPr>
            <w:tcW w:w="3010" w:type="dxa"/>
            <w:tcBorders>
              <w:top w:val="single" w:sz="8" w:space="0" w:color="000000"/>
              <w:start w:val="single" w:sz="8" w:space="0" w:color="000000"/>
              <w:bottom w:val="single" w:sz="8" w:space="0" w:color="000000"/>
              <w:end w:val="single" w:sz="8" w:space="0" w:color="000000"/>
            </w:tcBorders>
            <w:shd w:fill="auto" w:val="clear"/>
          </w:tcPr>
          <w:p>
            <w:pPr>
              <w:pStyle w:val="normal1"/>
              <w:widowControl w:val="false"/>
              <w:spacing w:lineRule="auto" w:line="240"/>
              <w:rPr>
                <w:rFonts w:ascii="Calibri" w:hAnsi="Calibri" w:eastAsia="Calibri" w:cs="Calibri"/>
                <w:lang w:val="pt-BR" w:eastAsia="zh-CN" w:bidi="hi-IN"/>
              </w:rPr>
            </w:pPr>
            <w:r>
              <w:rPr>
                <w:rFonts w:eastAsia="Calibri" w:cs="Calibri" w:ascii="Calibri" w:hAnsi="Calibri"/>
                <w:lang w:val="pt-BR" w:eastAsia="zh-CN" w:bidi="hi-IN"/>
              </w:rPr>
            </w:r>
          </w:p>
        </w:tc>
        <w:tc>
          <w:tcPr>
            <w:tcW w:w="3010" w:type="dxa"/>
            <w:tcBorders>
              <w:top w:val="single" w:sz="8" w:space="0" w:color="000000"/>
              <w:start w:val="single" w:sz="8" w:space="0" w:color="000000"/>
              <w:bottom w:val="single" w:sz="8" w:space="0" w:color="000000"/>
              <w:end w:val="single" w:sz="8" w:space="0" w:color="000000"/>
            </w:tcBorders>
            <w:shd w:fill="auto" w:val="clear"/>
          </w:tcPr>
          <w:p>
            <w:pPr>
              <w:pStyle w:val="normal1"/>
              <w:widowControl w:val="false"/>
              <w:spacing w:lineRule="auto" w:line="240"/>
              <w:rPr>
                <w:rFonts w:ascii="Calibri" w:hAnsi="Calibri" w:eastAsia="Calibri" w:cs="Calibri"/>
                <w:lang w:val="pt-BR" w:eastAsia="zh-CN" w:bidi="hi-IN"/>
              </w:rPr>
            </w:pPr>
            <w:r>
              <w:rPr>
                <w:rFonts w:eastAsia="Calibri" w:cs="Calibri" w:ascii="Calibri" w:hAnsi="Calibri"/>
                <w:lang w:val="pt-BR" w:eastAsia="zh-CN" w:bidi="hi-IN"/>
              </w:rPr>
            </w:r>
          </w:p>
        </w:tc>
      </w:tr>
    </w:tbl>
    <w:p>
      <w:pPr>
        <w:pStyle w:val="normal1"/>
        <w:spacing w:lineRule="auto" w:line="240" w:before="240" w:after="0"/>
        <w:jc w:val="both"/>
        <w:rPr>
          <w:lang w:val="pt-BR" w:eastAsia="zh-CN" w:bidi="hi-IN"/>
        </w:rPr>
      </w:pPr>
      <w:r>
        <w:rPr>
          <w:rFonts w:eastAsia="Calibri" w:cs="Calibri" w:ascii="Calibri" w:hAnsi="Calibri"/>
          <w:lang w:val="pt-BR" w:eastAsia="zh-CN" w:bidi="hi-IN"/>
        </w:rPr>
        <w:t>8.3. Procedimento para estimar o valor de mercado, quando utilizar o parâmetro de 3 orçamentos, recomendamos indicar o valor médio aferido. Na eventual utilização de outros parâmetros deverá estimar o valor utilizando o melhor preço aferido (§1º do Art. 23 da NLL):</w:t>
      </w:r>
    </w:p>
    <w:p>
      <w:pPr>
        <w:pStyle w:val="normal1"/>
        <w:spacing w:lineRule="auto" w:line="240"/>
        <w:jc w:val="both"/>
        <w:rPr>
          <w:rFonts w:ascii="Calibri" w:hAnsi="Calibri" w:eastAsia="Calibri" w:cs="Calibri"/>
          <w:lang w:val="pt-BR" w:eastAsia="zh-CN" w:bidi="hi-IN"/>
        </w:rPr>
      </w:pPr>
      <w:r>
        <w:rPr>
          <w:rFonts w:eastAsia="Calibri" w:cs="Calibri" w:ascii="Calibri" w:hAnsi="Calibri"/>
          <w:lang w:val="pt-BR" w:eastAsia="zh-CN" w:bidi="hi-IN"/>
        </w:rPr>
      </w:r>
    </w:p>
    <w:tbl>
      <w:tblPr>
        <w:tblStyle w:val="Table4"/>
        <w:tblW w:w="8940" w:type="dxa"/>
        <w:jc w:val="start"/>
        <w:tblInd w:w="0" w:type="dxa"/>
        <w:tblLayout w:type="fixed"/>
        <w:tblCellMar>
          <w:top w:w="100" w:type="dxa"/>
          <w:start w:w="100" w:type="dxa"/>
          <w:bottom w:w="100" w:type="dxa"/>
          <w:end w:w="100" w:type="dxa"/>
        </w:tblCellMar>
        <w:tblLook w:val="0600"/>
      </w:tblPr>
      <w:tblGrid>
        <w:gridCol w:w="3000"/>
        <w:gridCol w:w="2430"/>
        <w:gridCol w:w="1511"/>
        <w:gridCol w:w="1999"/>
      </w:tblGrid>
      <w:tr>
        <w:trPr/>
        <w:tc>
          <w:tcPr>
            <w:tcW w:w="3000" w:type="dxa"/>
            <w:tcBorders>
              <w:top w:val="single" w:sz="8" w:space="0" w:color="000000"/>
              <w:start w:val="single" w:sz="8" w:space="0" w:color="000000"/>
              <w:bottom w:val="single" w:sz="8" w:space="0" w:color="000000"/>
              <w:end w:val="single" w:sz="8" w:space="0" w:color="000000"/>
            </w:tcBorders>
            <w:shd w:fill="D9D9D9" w:val="clear"/>
          </w:tcPr>
          <w:p>
            <w:pPr>
              <w:pStyle w:val="normal1"/>
              <w:widowControl w:val="false"/>
              <w:spacing w:lineRule="auto" w:line="240"/>
              <w:jc w:val="center"/>
              <w:rPr>
                <w:lang w:val="pt-BR" w:eastAsia="zh-CN" w:bidi="hi-IN"/>
              </w:rPr>
            </w:pPr>
            <w:r>
              <w:rPr>
                <w:rFonts w:eastAsia="Calibri" w:cs="Calibri" w:ascii="Calibri" w:hAnsi="Calibri"/>
                <w:b/>
                <w:bCs/>
                <w:lang w:val="pt-BR" w:eastAsia="zh-CN" w:bidi="hi-IN"/>
              </w:rPr>
              <w:t>Descrição do Item</w:t>
            </w:r>
          </w:p>
        </w:tc>
        <w:tc>
          <w:tcPr>
            <w:tcW w:w="2430" w:type="dxa"/>
            <w:tcBorders>
              <w:top w:val="single" w:sz="8" w:space="0" w:color="000000"/>
              <w:start w:val="single" w:sz="8" w:space="0" w:color="000000"/>
              <w:bottom w:val="single" w:sz="8" w:space="0" w:color="000000"/>
              <w:end w:val="single" w:sz="8" w:space="0" w:color="000000"/>
            </w:tcBorders>
            <w:shd w:fill="D9D9D9" w:val="clear"/>
          </w:tcPr>
          <w:p>
            <w:pPr>
              <w:pStyle w:val="normal1"/>
              <w:widowControl w:val="false"/>
              <w:spacing w:lineRule="auto" w:line="240"/>
              <w:jc w:val="center"/>
              <w:rPr>
                <w:lang w:val="pt-BR" w:eastAsia="zh-CN" w:bidi="hi-IN"/>
              </w:rPr>
            </w:pPr>
            <w:r>
              <w:rPr>
                <w:rFonts w:eastAsia="Calibri" w:cs="Calibri" w:ascii="Calibri" w:hAnsi="Calibri"/>
                <w:b/>
                <w:bCs/>
                <w:lang w:val="pt-BR" w:eastAsia="zh-CN" w:bidi="hi-IN"/>
              </w:rPr>
              <w:t>Valor Estimado</w:t>
            </w:r>
          </w:p>
        </w:tc>
        <w:tc>
          <w:tcPr>
            <w:tcW w:w="1511" w:type="dxa"/>
            <w:tcBorders>
              <w:top w:val="single" w:sz="8" w:space="0" w:color="000000"/>
              <w:start w:val="single" w:sz="8" w:space="0" w:color="000000"/>
              <w:bottom w:val="single" w:sz="8" w:space="0" w:color="000000"/>
              <w:end w:val="single" w:sz="8" w:space="0" w:color="000000"/>
            </w:tcBorders>
            <w:shd w:fill="D9D9D9" w:val="clear"/>
          </w:tcPr>
          <w:p>
            <w:pPr>
              <w:pStyle w:val="normal1"/>
              <w:widowControl w:val="false"/>
              <w:spacing w:lineRule="auto" w:line="240"/>
              <w:jc w:val="center"/>
              <w:rPr>
                <w:lang w:val="pt-BR" w:eastAsia="zh-CN" w:bidi="hi-IN"/>
              </w:rPr>
            </w:pPr>
            <w:r>
              <w:rPr>
                <w:rFonts w:eastAsia="Calibri" w:cs="Calibri" w:ascii="Calibri" w:hAnsi="Calibri"/>
                <w:b/>
                <w:bCs/>
                <w:lang w:val="pt-BR" w:eastAsia="zh-CN" w:bidi="hi-IN"/>
              </w:rPr>
              <w:t>Qtd.</w:t>
            </w:r>
          </w:p>
        </w:tc>
        <w:tc>
          <w:tcPr>
            <w:tcW w:w="1999" w:type="dxa"/>
            <w:tcBorders>
              <w:top w:val="single" w:sz="8" w:space="0" w:color="000000"/>
              <w:start w:val="single" w:sz="8" w:space="0" w:color="000000"/>
              <w:bottom w:val="single" w:sz="8" w:space="0" w:color="000000"/>
              <w:end w:val="single" w:sz="8" w:space="0" w:color="000000"/>
            </w:tcBorders>
            <w:shd w:fill="D9D9D9" w:val="clear"/>
          </w:tcPr>
          <w:p>
            <w:pPr>
              <w:pStyle w:val="normal1"/>
              <w:widowControl w:val="false"/>
              <w:spacing w:lineRule="auto" w:line="240"/>
              <w:jc w:val="center"/>
              <w:rPr>
                <w:lang w:val="pt-BR" w:eastAsia="zh-CN" w:bidi="hi-IN"/>
              </w:rPr>
            </w:pPr>
            <w:r>
              <w:rPr>
                <w:rFonts w:eastAsia="Calibri" w:cs="Calibri" w:ascii="Calibri" w:hAnsi="Calibri"/>
                <w:b/>
                <w:bCs/>
                <w:lang w:val="pt-BR" w:eastAsia="zh-CN" w:bidi="hi-IN"/>
              </w:rPr>
              <w:t>Valor Total Médio</w:t>
            </w:r>
          </w:p>
        </w:tc>
      </w:tr>
      <w:tr>
        <w:trPr/>
        <w:tc>
          <w:tcPr>
            <w:tcW w:w="3000" w:type="dxa"/>
            <w:tcBorders>
              <w:top w:val="single" w:sz="8" w:space="0" w:color="000000"/>
              <w:start w:val="single" w:sz="8" w:space="0" w:color="000000"/>
              <w:bottom w:val="single" w:sz="8" w:space="0" w:color="000000"/>
              <w:end w:val="single" w:sz="8" w:space="0" w:color="000000"/>
            </w:tcBorders>
            <w:shd w:fill="auto" w:val="clear"/>
          </w:tcPr>
          <w:p>
            <w:pPr>
              <w:pStyle w:val="BodyText"/>
              <w:widowControl w:val="false"/>
              <w:spacing w:lineRule="auto" w:line="240"/>
              <w:rPr>
                <w:rFonts w:ascii="Calibri;serif" w:hAnsi="Calibri;serif" w:eastAsia="Calibri" w:cs="Calibri"/>
                <w:b/>
                <w:lang w:val="pt-BR" w:eastAsia="zh-CN" w:bidi="hi-IN"/>
              </w:rPr>
            </w:pPr>
            <w:r>
              <w:rPr>
                <w:rFonts w:eastAsia="Calibri" w:cs="Calibri" w:ascii="Calibri;serif" w:hAnsi="Calibri;serif"/>
                <w:b/>
                <w:lang w:val="pt-BR" w:eastAsia="zh-CN" w:bidi="hi-IN"/>
              </w:rPr>
              <w:t>SERVIÇO DE PINTURA DA COBERTURA NA RUA OSWALDO CRUZ</w:t>
            </w:r>
          </w:p>
          <w:p>
            <w:pPr>
              <w:pStyle w:val="normal1"/>
              <w:widowControl w:val="false"/>
              <w:spacing w:lineRule="auto" w:line="240"/>
              <w:rPr>
                <w:rFonts w:ascii="Calibri" w:hAnsi="Calibri" w:eastAsia="Calibri" w:cs="Calibri"/>
                <w:lang w:val="pt-BR" w:eastAsia="zh-CN" w:bidi="hi-IN"/>
              </w:rPr>
            </w:pPr>
            <w:r>
              <w:rPr>
                <w:rFonts w:eastAsia="Calibri" w:cs="Calibri" w:ascii="Calibri" w:hAnsi="Calibri"/>
                <w:lang w:val="pt-BR" w:eastAsia="zh-CN" w:bidi="hi-IN"/>
              </w:rPr>
            </w:r>
          </w:p>
        </w:tc>
        <w:tc>
          <w:tcPr>
            <w:tcW w:w="2430" w:type="dxa"/>
            <w:tcBorders>
              <w:top w:val="single" w:sz="8" w:space="0" w:color="000000"/>
              <w:start w:val="single" w:sz="8" w:space="0" w:color="000000"/>
              <w:bottom w:val="single" w:sz="8" w:space="0" w:color="000000"/>
              <w:end w:val="single" w:sz="8" w:space="0" w:color="000000"/>
            </w:tcBorders>
            <w:shd w:fill="auto" w:val="clear"/>
          </w:tcPr>
          <w:p>
            <w:pPr>
              <w:pStyle w:val="normal1"/>
              <w:widowControl w:val="false"/>
              <w:spacing w:lineRule="auto" w:line="240"/>
              <w:rPr>
                <w:rFonts w:ascii="Calibri" w:hAnsi="Calibri" w:eastAsia="Calibri" w:cs="Calibri"/>
                <w:lang w:val="pt-BR" w:eastAsia="zh-CN" w:bidi="hi-IN"/>
              </w:rPr>
            </w:pPr>
            <w:r>
              <w:rPr>
                <w:rFonts w:eastAsia="Calibri" w:cs="Calibri" w:ascii="Calibri" w:hAnsi="Calibri"/>
                <w:lang w:val="pt-BR" w:eastAsia="zh-CN" w:bidi="hi-IN"/>
              </w:rPr>
              <w:t>R$ 21.750,00</w:t>
            </w:r>
          </w:p>
        </w:tc>
        <w:tc>
          <w:tcPr>
            <w:tcW w:w="1511" w:type="dxa"/>
            <w:tcBorders>
              <w:top w:val="single" w:sz="8" w:space="0" w:color="000000"/>
              <w:start w:val="single" w:sz="8" w:space="0" w:color="000000"/>
              <w:bottom w:val="single" w:sz="8" w:space="0" w:color="000000"/>
              <w:end w:val="single" w:sz="8" w:space="0" w:color="000000"/>
            </w:tcBorders>
            <w:shd w:fill="auto" w:val="clear"/>
          </w:tcPr>
          <w:p>
            <w:pPr>
              <w:pStyle w:val="normal1"/>
              <w:widowControl w:val="false"/>
              <w:spacing w:lineRule="auto" w:line="240"/>
              <w:rPr>
                <w:rFonts w:ascii="Calibri" w:hAnsi="Calibri" w:eastAsia="Calibri" w:cs="Calibri"/>
                <w:lang w:val="pt-BR" w:eastAsia="zh-CN" w:bidi="hi-IN"/>
              </w:rPr>
            </w:pPr>
            <w:r>
              <w:rPr>
                <w:rFonts w:eastAsia="Calibri" w:cs="Calibri" w:ascii="Calibri" w:hAnsi="Calibri"/>
                <w:lang w:val="pt-BR" w:eastAsia="zh-CN" w:bidi="hi-IN"/>
              </w:rPr>
              <w:t>01</w:t>
            </w:r>
          </w:p>
        </w:tc>
        <w:tc>
          <w:tcPr>
            <w:tcW w:w="1999" w:type="dxa"/>
            <w:tcBorders>
              <w:top w:val="single" w:sz="8" w:space="0" w:color="000000"/>
              <w:start w:val="single" w:sz="8" w:space="0" w:color="000000"/>
              <w:bottom w:val="single" w:sz="8" w:space="0" w:color="000000"/>
              <w:end w:val="single" w:sz="8" w:space="0" w:color="000000"/>
            </w:tcBorders>
            <w:shd w:fill="auto" w:val="clear"/>
          </w:tcPr>
          <w:p>
            <w:pPr>
              <w:pStyle w:val="normal1"/>
              <w:widowControl w:val="false"/>
              <w:spacing w:lineRule="auto" w:line="240"/>
              <w:rPr>
                <w:rFonts w:ascii="Calibri" w:hAnsi="Calibri" w:eastAsia="Calibri" w:cs="Calibri"/>
                <w:lang w:val="pt-BR" w:eastAsia="zh-CN" w:bidi="hi-IN"/>
              </w:rPr>
            </w:pPr>
            <w:r>
              <w:rPr>
                <w:rFonts w:eastAsia="Calibri" w:cs="Calibri" w:ascii="Calibri" w:hAnsi="Calibri"/>
                <w:lang w:val="pt-BR" w:eastAsia="zh-CN" w:bidi="hi-IN"/>
              </w:rPr>
              <w:t>R$ 21.750,00</w:t>
            </w:r>
          </w:p>
        </w:tc>
      </w:tr>
    </w:tbl>
    <w:p>
      <w:pPr>
        <w:pStyle w:val="normal1"/>
        <w:spacing w:lineRule="auto" w:line="240" w:before="240" w:after="0"/>
        <w:ind w:hanging="0" w:start="0"/>
        <w:jc w:val="both"/>
        <w:rPr>
          <w:lang w:val="pt-BR" w:eastAsia="zh-CN" w:bidi="hi-IN"/>
        </w:rPr>
      </w:pPr>
      <w:r>
        <w:rPr>
          <w:rFonts w:eastAsia="Calibri" w:cs="Calibri" w:ascii="Calibri" w:hAnsi="Calibri"/>
          <w:lang w:val="pt-BR" w:eastAsia="zh-CN" w:bidi="hi-IN"/>
        </w:rPr>
        <w:t>8.4. Valor total estimado da compra considerando o preço médio dos itens e a totalidade das unidades a serem adquiridas:</w:t>
      </w:r>
    </w:p>
    <w:p>
      <w:pPr>
        <w:pStyle w:val="normal1"/>
        <w:numPr>
          <w:ilvl w:val="0"/>
          <w:numId w:val="2"/>
        </w:numPr>
        <w:spacing w:lineRule="auto" w:line="240" w:before="240" w:after="0"/>
        <w:ind w:hanging="360" w:start="720"/>
        <w:jc w:val="both"/>
        <w:rPr>
          <w:lang w:val="pt-BR" w:eastAsia="zh-CN" w:bidi="hi-IN"/>
        </w:rPr>
      </w:pPr>
      <w:r>
        <w:rPr>
          <w:rFonts w:eastAsia="Calibri" w:cs="Calibri" w:ascii="Calibri" w:hAnsi="Calibri"/>
          <w:b/>
          <w:bCs/>
          <w:lang w:val="pt-BR" w:eastAsia="zh-CN" w:bidi="hi-IN"/>
        </w:rPr>
        <w:t xml:space="preserve">TOTAL DO CONTRATO: </w:t>
      </w:r>
      <w:r>
        <w:rPr>
          <w:rFonts w:eastAsia="Calibri" w:cs="Calibri" w:ascii="Calibri" w:hAnsi="Calibri"/>
          <w:lang w:val="pt-BR" w:eastAsia="zh-CN" w:bidi="hi-IN"/>
        </w:rPr>
        <w:t>R$ 21.750,00 (Vinte um mil, setecentos e cinquenta reais).</w:t>
      </w:r>
    </w:p>
    <w:p>
      <w:pPr>
        <w:pStyle w:val="normal1"/>
        <w:spacing w:lineRule="auto" w:line="240" w:before="240" w:after="0"/>
        <w:ind w:hanging="0" w:start="0"/>
        <w:jc w:val="both"/>
        <w:rPr>
          <w:lang w:val="pt-BR" w:eastAsia="zh-CN" w:bidi="hi-IN"/>
        </w:rPr>
      </w:pPr>
      <w:r>
        <w:rPr>
          <w:rFonts w:eastAsia="Calibri" w:cs="Calibri" w:ascii="Calibri" w:hAnsi="Calibri"/>
          <w:b/>
          <w:bCs/>
          <w:lang w:val="pt-BR" w:eastAsia="zh-CN" w:bidi="hi-IN"/>
        </w:rPr>
        <w:t>9. ADEQUAÇÃO ORÇAMENTÁRIA</w:t>
      </w:r>
    </w:p>
    <w:p>
      <w:pPr>
        <w:pStyle w:val="normal1"/>
        <w:spacing w:lineRule="auto" w:line="240" w:before="240" w:after="0"/>
        <w:ind w:hanging="0" w:start="0"/>
        <w:jc w:val="both"/>
        <w:rPr>
          <w:lang w:val="pt-BR" w:eastAsia="zh-CN" w:bidi="hi-IN"/>
        </w:rPr>
      </w:pPr>
      <w:r>
        <w:rPr>
          <w:rFonts w:eastAsia="Calibri" w:cs="Calibri" w:ascii="Calibri" w:hAnsi="Calibri"/>
          <w:lang w:val="pt-BR" w:eastAsia="zh-CN" w:bidi="hi-IN"/>
        </w:rPr>
        <w:t xml:space="preserve">9.1.  (  </w:t>
      </w:r>
      <w:r>
        <w:rPr>
          <w:rFonts w:eastAsia="Calibri" w:cs="Calibri" w:ascii="Calibri" w:hAnsi="Calibri"/>
          <w:b/>
          <w:bCs/>
          <w:lang w:val="pt-BR" w:eastAsia="zh-CN" w:bidi="hi-IN"/>
        </w:rPr>
        <w:t>X</w:t>
      </w:r>
      <w:r>
        <w:rPr>
          <w:rFonts w:eastAsia="Calibri" w:cs="Calibri" w:ascii="Calibri" w:hAnsi="Calibri"/>
          <w:lang w:val="pt-BR" w:eastAsia="zh-CN" w:bidi="hi-IN"/>
        </w:rPr>
        <w:t xml:space="preserve">  ) Há dotação orçamentária:</w:t>
      </w:r>
    </w:p>
    <w:p>
      <w:pPr>
        <w:pStyle w:val="normal1"/>
        <w:spacing w:lineRule="auto" w:line="276"/>
        <w:rPr>
          <w:rFonts w:ascii="Calibri" w:hAnsi="Calibri" w:eastAsia="Calibri" w:cs="Calibri"/>
          <w:lang w:val="pt-BR" w:eastAsia="zh-CN" w:bidi="hi-IN"/>
        </w:rPr>
      </w:pPr>
      <w:r>
        <w:rPr>
          <w:rFonts w:eastAsia="Calibri" w:cs="Calibri" w:ascii="Calibri" w:hAnsi="Calibri"/>
          <w:lang w:val="pt-BR" w:eastAsia="zh-CN" w:bidi="hi-IN"/>
        </w:rPr>
      </w:r>
    </w:p>
    <w:p>
      <w:pPr>
        <w:pStyle w:val="normal1"/>
        <w:spacing w:lineRule="auto" w:line="276"/>
        <w:rPr>
          <w:lang w:val="pt-BR" w:eastAsia="zh-CN" w:bidi="hi-IN"/>
        </w:rPr>
      </w:pPr>
      <w:r>
        <w:rPr>
          <w:rFonts w:eastAsia="Calibri" w:cs="Calibri" w:ascii="Calibri" w:hAnsi="Calibri"/>
          <w:lang w:val="pt-BR" w:eastAsia="zh-CN" w:bidi="hi-IN"/>
        </w:rPr>
        <w:t>9.1.1. Dotação orçamentária indicada:</w:t>
      </w:r>
    </w:p>
    <w:p>
      <w:pPr>
        <w:pStyle w:val="normal1"/>
        <w:widowControl w:val="false"/>
        <w:spacing w:lineRule="auto" w:line="240"/>
        <w:ind w:hanging="0" w:start="720"/>
        <w:jc w:val="both"/>
        <w:rPr>
          <w:lang w:val="pt-BR" w:eastAsia="zh-CN" w:bidi="hi-IN"/>
        </w:rPr>
      </w:pPr>
      <w:r>
        <w:rPr>
          <w:rFonts w:eastAsia="Calibri" w:cs="Calibri" w:ascii="Calibri" w:hAnsi="Calibri"/>
          <w:b/>
          <w:bCs/>
          <w:lang w:val="pt-BR" w:eastAsia="zh-CN" w:bidi="hi-IN"/>
        </w:rPr>
        <w:t>Código Reduzido: 779</w:t>
      </w:r>
    </w:p>
    <w:p>
      <w:pPr>
        <w:pStyle w:val="normal1"/>
        <w:widowControl w:val="false"/>
        <w:spacing w:lineRule="auto" w:line="240"/>
        <w:ind w:hanging="0" w:start="720"/>
        <w:jc w:val="both"/>
        <w:rPr>
          <w:lang w:val="pt-BR" w:eastAsia="zh-CN" w:bidi="hi-IN"/>
        </w:rPr>
      </w:pPr>
      <w:r>
        <w:rPr>
          <w:rFonts w:eastAsia="Calibri" w:cs="Calibri" w:ascii="Calibri" w:hAnsi="Calibri"/>
          <w:b/>
          <w:bCs/>
          <w:lang w:val="pt-BR" w:eastAsia="zh-CN" w:bidi="hi-IN"/>
        </w:rPr>
        <w:t>Órgão: 98-Encargos Gerais do Município</w:t>
      </w:r>
    </w:p>
    <w:p>
      <w:pPr>
        <w:pStyle w:val="normal1"/>
        <w:widowControl w:val="false"/>
        <w:spacing w:lineRule="auto" w:line="240"/>
        <w:ind w:hanging="0" w:start="709"/>
        <w:jc w:val="both"/>
        <w:rPr>
          <w:lang w:val="pt-BR" w:eastAsia="zh-CN" w:bidi="hi-IN"/>
        </w:rPr>
      </w:pPr>
      <w:r>
        <w:rPr>
          <w:rFonts w:eastAsia="Calibri" w:cs="Calibri" w:ascii="Calibri" w:hAnsi="Calibri"/>
          <w:b/>
          <w:bCs/>
          <w:lang w:val="pt-BR" w:eastAsia="zh-CN" w:bidi="hi-IN"/>
        </w:rPr>
        <w:t>Unidade: 001-Encargos Gerais do Município</w:t>
      </w:r>
    </w:p>
    <w:p>
      <w:pPr>
        <w:pStyle w:val="normal1"/>
        <w:widowControl w:val="false"/>
        <w:spacing w:lineRule="auto" w:line="240"/>
        <w:ind w:hanging="0" w:start="709"/>
        <w:jc w:val="both"/>
        <w:rPr>
          <w:lang w:val="pt-BR" w:eastAsia="zh-CN" w:bidi="hi-IN"/>
        </w:rPr>
      </w:pPr>
      <w:r>
        <w:rPr>
          <w:rFonts w:eastAsia="Calibri" w:cs="Calibri" w:ascii="Calibri" w:hAnsi="Calibri"/>
          <w:b/>
          <w:bCs/>
          <w:lang w:val="pt-BR" w:eastAsia="zh-CN" w:bidi="hi-IN"/>
        </w:rPr>
        <w:t>Ação: 2208-Manutenção das Atividades dos Encargos Gerais do Município</w:t>
      </w:r>
    </w:p>
    <w:p>
      <w:pPr>
        <w:pStyle w:val="normal1"/>
        <w:widowControl w:val="false"/>
        <w:spacing w:lineRule="auto" w:line="240"/>
        <w:ind w:hanging="0" w:start="709"/>
        <w:jc w:val="both"/>
        <w:rPr>
          <w:lang w:val="pt-BR" w:eastAsia="zh-CN" w:bidi="hi-IN"/>
        </w:rPr>
      </w:pPr>
      <w:r>
        <w:rPr>
          <w:rFonts w:eastAsia="Calibri" w:cs="Calibri" w:ascii="Calibri" w:hAnsi="Calibri"/>
          <w:b/>
          <w:bCs/>
          <w:lang w:val="pt-BR" w:eastAsia="zh-CN" w:bidi="hi-IN"/>
        </w:rPr>
        <w:t>Vínculo: 15000001-Recursos não Vinculados de Impostos</w:t>
      </w:r>
    </w:p>
    <w:p>
      <w:pPr>
        <w:pStyle w:val="normal1"/>
        <w:widowControl w:val="false"/>
        <w:spacing w:lineRule="auto" w:line="240"/>
        <w:ind w:hanging="0" w:start="709"/>
        <w:jc w:val="both"/>
        <w:rPr>
          <w:lang w:val="pt-BR" w:eastAsia="zh-CN" w:bidi="hi-IN"/>
        </w:rPr>
      </w:pPr>
      <w:r>
        <w:rPr>
          <w:rFonts w:eastAsia="Calibri" w:cs="Calibri" w:ascii="Calibri" w:hAnsi="Calibri"/>
          <w:b/>
          <w:bCs/>
          <w:lang w:val="pt-BR" w:eastAsia="zh-CN" w:bidi="hi-IN"/>
        </w:rPr>
        <w:t>Subelemento: 33390390000000-Outros Serviços de Terceiros-Pessoa Jurídica</w:t>
      </w:r>
    </w:p>
    <w:p>
      <w:pPr>
        <w:pStyle w:val="normal1"/>
        <w:spacing w:lineRule="auto" w:line="240" w:before="0" w:after="0"/>
        <w:ind w:hanging="0" w:start="0"/>
        <w:jc w:val="both"/>
        <w:rPr>
          <w:rFonts w:ascii="Calibri" w:hAnsi="Calibri" w:eastAsia="Calibri" w:cs="Calibri"/>
          <w:lang w:val="pt-BR" w:eastAsia="zh-CN" w:bidi="hi-IN"/>
        </w:rPr>
      </w:pPr>
      <w:r>
        <w:rPr>
          <w:rFonts w:eastAsia="Calibri" w:cs="Calibri" w:ascii="Calibri" w:hAnsi="Calibri"/>
          <w:lang w:val="pt-BR" w:eastAsia="zh-CN" w:bidi="hi-IN"/>
        </w:rPr>
      </w:r>
    </w:p>
    <w:p>
      <w:pPr>
        <w:pStyle w:val="normal1"/>
        <w:spacing w:lineRule="auto" w:line="240" w:before="0" w:after="0"/>
        <w:ind w:hanging="0" w:start="0"/>
        <w:jc w:val="start"/>
        <w:rPr>
          <w:lang w:val="pt-BR" w:eastAsia="zh-CN" w:bidi="hi-IN"/>
        </w:rPr>
      </w:pPr>
      <w:r>
        <w:rPr>
          <w:rFonts w:eastAsia="Calibri" w:cs="Calibri" w:ascii="Calibri" w:hAnsi="Calibri"/>
          <w:lang w:val="pt-BR" w:eastAsia="zh-CN" w:bidi="hi-IN"/>
        </w:rPr>
        <w:t>Igrejinha/RS, 12 de Agosto de 2026.</w:t>
      </w:r>
    </w:p>
    <w:p>
      <w:pPr>
        <w:pStyle w:val="normal1"/>
        <w:spacing w:lineRule="auto" w:line="240" w:before="0" w:after="0"/>
        <w:ind w:hanging="0" w:start="0"/>
        <w:jc w:val="start"/>
        <w:rPr>
          <w:rFonts w:ascii="Calibri" w:hAnsi="Calibri" w:eastAsia="Calibri" w:cs="Calibri"/>
          <w:b/>
          <w:bCs/>
          <w:lang w:val="pt-BR" w:eastAsia="zh-CN" w:bidi="hi-IN"/>
        </w:rPr>
      </w:pPr>
      <w:r>
        <w:rPr>
          <w:rFonts w:eastAsia="Calibri" w:cs="Calibri" w:ascii="Calibri" w:hAnsi="Calibri"/>
          <w:b/>
          <w:bCs/>
          <w:lang w:val="pt-BR" w:eastAsia="zh-CN" w:bidi="hi-IN"/>
        </w:rPr>
      </w:r>
    </w:p>
    <w:p>
      <w:pPr>
        <w:pStyle w:val="normal1"/>
        <w:spacing w:lineRule="auto" w:line="240" w:before="0" w:after="0"/>
        <w:ind w:hanging="0" w:start="0"/>
        <w:jc w:val="start"/>
        <w:rPr>
          <w:rFonts w:ascii="Calibri" w:hAnsi="Calibri" w:eastAsia="Calibri" w:cs="Calibri"/>
          <w:b/>
          <w:bCs/>
          <w:lang w:val="pt-BR" w:eastAsia="zh-CN" w:bidi="hi-IN"/>
        </w:rPr>
      </w:pPr>
      <w:r>
        <w:rPr>
          <w:rFonts w:eastAsia="Calibri" w:cs="Calibri" w:ascii="Calibri" w:hAnsi="Calibri"/>
          <w:b/>
          <w:bCs/>
          <w:lang w:val="pt-BR" w:eastAsia="zh-CN" w:bidi="hi-IN"/>
        </w:rPr>
      </w:r>
    </w:p>
    <w:p>
      <w:pPr>
        <w:pStyle w:val="normal1"/>
        <w:spacing w:lineRule="auto" w:line="240" w:before="0" w:after="0"/>
        <w:ind w:hanging="0" w:start="0"/>
        <w:jc w:val="start"/>
        <w:rPr>
          <w:rFonts w:ascii="Calibri" w:hAnsi="Calibri" w:eastAsia="Calibri" w:cs="Calibri"/>
          <w:b/>
          <w:bCs/>
          <w:lang w:val="pt-BR" w:eastAsia="zh-CN" w:bidi="hi-IN"/>
        </w:rPr>
      </w:pPr>
      <w:r>
        <w:rPr>
          <w:rFonts w:eastAsia="Calibri" w:cs="Calibri" w:ascii="Calibri" w:hAnsi="Calibri"/>
          <w:b/>
          <w:bCs/>
          <w:lang w:val="pt-BR" w:eastAsia="zh-CN" w:bidi="hi-IN"/>
        </w:rPr>
      </w:r>
    </w:p>
    <w:p>
      <w:pPr>
        <w:pStyle w:val="normal1"/>
        <w:spacing w:lineRule="auto" w:line="240" w:before="0" w:after="0"/>
        <w:ind w:firstLine="720" w:start="0"/>
        <w:jc w:val="center"/>
        <w:rPr>
          <w:rFonts w:ascii="Calibri" w:hAnsi="Calibri" w:eastAsia="Calibri" w:cs="Calibri"/>
          <w:b/>
          <w:bCs/>
          <w:color w:val="FF0000"/>
          <w:lang w:val="pt-BR" w:eastAsia="zh-CN" w:bidi="hi-IN"/>
        </w:rPr>
      </w:pPr>
      <w:r>
        <w:rPr>
          <w:rFonts w:eastAsia="Calibri" w:cs="Calibri" w:ascii="Calibri" w:hAnsi="Calibri"/>
          <w:b/>
          <w:bCs/>
          <w:color w:val="FF0000"/>
          <w:lang w:val="pt-BR" w:eastAsia="zh-CN" w:bidi="hi-IN"/>
        </w:rPr>
      </w:r>
    </w:p>
    <w:p>
      <w:pPr>
        <w:pStyle w:val="normal1"/>
        <w:spacing w:lineRule="auto" w:line="240"/>
        <w:jc w:val="center"/>
        <w:rPr>
          <w:lang w:val="pt-BR" w:eastAsia="zh-CN" w:bidi="hi-IN"/>
        </w:rPr>
      </w:pPr>
      <w:r>
        <w:rPr>
          <w:rFonts w:eastAsia="Calibri" w:cs="Calibri" w:ascii="Calibri" w:hAnsi="Calibri"/>
          <w:lang w:val="pt-BR" w:eastAsia="zh-CN" w:bidi="hi-IN"/>
        </w:rPr>
        <w:t>_____________________</w:t>
      </w:r>
    </w:p>
    <w:p>
      <w:pPr>
        <w:pStyle w:val="normal1"/>
        <w:spacing w:lineRule="auto" w:line="240"/>
        <w:jc w:val="center"/>
        <w:rPr>
          <w:lang w:val="pt-BR" w:eastAsia="zh-CN" w:bidi="hi-IN"/>
        </w:rPr>
      </w:pPr>
      <w:r>
        <w:rPr>
          <w:rFonts w:eastAsia="Calibri" w:cs="Calibri" w:ascii="Calibri" w:hAnsi="Calibri"/>
          <w:lang w:val="pt-BR" w:eastAsia="zh-CN" w:bidi="hi-IN"/>
        </w:rPr>
        <w:t>Silvano Ricardo Vingert</w:t>
      </w:r>
    </w:p>
    <w:p>
      <w:pPr>
        <w:pStyle w:val="normal1"/>
        <w:spacing w:lineRule="auto" w:line="240"/>
        <w:jc w:val="center"/>
        <w:rPr>
          <w:lang w:val="pt-BR" w:eastAsia="zh-CN" w:bidi="hi-IN"/>
        </w:rPr>
      </w:pPr>
      <w:r>
        <w:rPr>
          <w:rFonts w:eastAsia="Calibri" w:cs="Calibri" w:ascii="Calibri" w:hAnsi="Calibri"/>
          <w:lang w:val="pt-BR" w:eastAsia="zh-CN" w:bidi="hi-IN"/>
        </w:rPr>
        <w:t>Formalizador da Demanda</w:t>
      </w:r>
    </w:p>
    <w:p>
      <w:pPr>
        <w:pStyle w:val="normal1"/>
        <w:spacing w:lineRule="auto" w:line="240"/>
        <w:jc w:val="center"/>
        <w:rPr>
          <w:rFonts w:ascii="Calibri" w:hAnsi="Calibri" w:eastAsia="Calibri" w:cs="Calibri"/>
          <w:lang w:val="pt-BR" w:eastAsia="zh-CN" w:bidi="hi-IN"/>
        </w:rPr>
      </w:pPr>
      <w:r>
        <w:rPr>
          <w:rFonts w:eastAsia="Calibri" w:cs="Calibri" w:ascii="Calibri" w:hAnsi="Calibri"/>
          <w:lang w:val="pt-BR" w:eastAsia="zh-CN" w:bidi="hi-IN"/>
        </w:rPr>
      </w:r>
    </w:p>
    <w:p>
      <w:pPr>
        <w:pStyle w:val="normal1"/>
        <w:spacing w:lineRule="auto" w:line="240"/>
        <w:jc w:val="center"/>
        <w:rPr>
          <w:rFonts w:ascii="Calibri" w:hAnsi="Calibri" w:eastAsia="Calibri" w:cs="Calibri"/>
          <w:lang w:val="pt-BR" w:eastAsia="zh-CN" w:bidi="hi-IN"/>
        </w:rPr>
      </w:pPr>
      <w:r>
        <w:rPr>
          <w:rFonts w:eastAsia="Calibri" w:cs="Calibri" w:ascii="Calibri" w:hAnsi="Calibri"/>
          <w:lang w:val="pt-BR" w:eastAsia="zh-CN" w:bidi="hi-IN"/>
        </w:rPr>
      </w:r>
    </w:p>
    <w:p>
      <w:pPr>
        <w:pStyle w:val="normal1"/>
        <w:spacing w:lineRule="auto" w:line="240"/>
        <w:jc w:val="center"/>
        <w:rPr>
          <w:rFonts w:ascii="Calibri" w:hAnsi="Calibri" w:eastAsia="Calibri" w:cs="Calibri"/>
          <w:lang w:val="pt-BR" w:eastAsia="zh-CN" w:bidi="hi-IN"/>
        </w:rPr>
      </w:pPr>
      <w:r>
        <w:rPr>
          <w:rFonts w:eastAsia="Calibri" w:cs="Calibri" w:ascii="Calibri" w:hAnsi="Calibri"/>
          <w:lang w:val="pt-BR" w:eastAsia="zh-CN" w:bidi="hi-IN"/>
        </w:rPr>
      </w:r>
    </w:p>
    <w:p>
      <w:pPr>
        <w:pStyle w:val="normal1"/>
        <w:spacing w:lineRule="auto" w:line="240"/>
        <w:jc w:val="center"/>
        <w:rPr>
          <w:rFonts w:ascii="Calibri" w:hAnsi="Calibri" w:eastAsia="Calibri" w:cs="Calibri"/>
          <w:lang w:val="pt-BR" w:eastAsia="zh-CN" w:bidi="hi-IN"/>
        </w:rPr>
      </w:pPr>
      <w:r>
        <w:rPr>
          <w:rFonts w:eastAsia="Calibri" w:cs="Calibri" w:ascii="Calibri" w:hAnsi="Calibri"/>
          <w:lang w:val="pt-BR" w:eastAsia="zh-CN" w:bidi="hi-IN"/>
        </w:rPr>
      </w:r>
    </w:p>
    <w:p>
      <w:pPr>
        <w:pStyle w:val="normal1"/>
        <w:spacing w:lineRule="auto" w:line="240"/>
        <w:jc w:val="center"/>
        <w:rPr>
          <w:rFonts w:ascii="Calibri" w:hAnsi="Calibri" w:eastAsia="Calibri" w:cs="Calibri"/>
          <w:lang w:val="pt-BR" w:eastAsia="zh-CN" w:bidi="hi-IN"/>
        </w:rPr>
      </w:pPr>
      <w:r>
        <w:rPr>
          <w:rFonts w:eastAsia="Calibri" w:cs="Calibri" w:ascii="Calibri" w:hAnsi="Calibri"/>
          <w:lang w:val="pt-BR" w:eastAsia="zh-CN" w:bidi="hi-IN"/>
        </w:rPr>
      </w:r>
    </w:p>
    <w:p>
      <w:pPr>
        <w:pStyle w:val="normal1"/>
        <w:spacing w:lineRule="auto" w:line="240"/>
        <w:jc w:val="center"/>
        <w:rPr>
          <w:lang w:val="pt-BR" w:eastAsia="zh-CN" w:bidi="hi-IN"/>
        </w:rPr>
      </w:pPr>
      <w:r>
        <w:rPr>
          <w:rFonts w:eastAsia="Calibri" w:cs="Calibri" w:ascii="Calibri" w:hAnsi="Calibri"/>
          <w:lang w:val="pt-BR" w:eastAsia="zh-CN" w:bidi="hi-IN"/>
        </w:rPr>
        <w:t>_____________________</w:t>
      </w:r>
    </w:p>
    <w:p>
      <w:pPr>
        <w:pStyle w:val="normal1"/>
        <w:spacing w:lineRule="auto" w:line="240"/>
        <w:jc w:val="center"/>
        <w:rPr>
          <w:lang w:val="pt-BR" w:eastAsia="zh-CN" w:bidi="hi-IN"/>
        </w:rPr>
      </w:pPr>
      <w:r>
        <w:rPr>
          <w:rFonts w:eastAsia="Calibri" w:cs="Calibri" w:ascii="Calibri" w:hAnsi="Calibri"/>
          <w:lang w:val="pt-BR" w:eastAsia="zh-CN" w:bidi="hi-IN"/>
        </w:rPr>
        <w:t>Leandro Marciano Horlle</w:t>
      </w:r>
    </w:p>
    <w:p>
      <w:pPr>
        <w:pStyle w:val="normal1"/>
        <w:spacing w:lineRule="auto" w:line="240"/>
        <w:jc w:val="center"/>
        <w:rPr>
          <w:lang w:val="pt-BR" w:eastAsia="zh-CN" w:bidi="hi-IN"/>
        </w:rPr>
      </w:pPr>
      <w:r>
        <w:rPr>
          <w:rFonts w:eastAsia="Calibri" w:cs="Calibri" w:ascii="Calibri" w:hAnsi="Calibri"/>
          <w:lang w:val="pt-BR" w:eastAsia="zh-CN" w:bidi="hi-IN"/>
        </w:rPr>
        <w:t>Prefeito</w:t>
      </w:r>
    </w:p>
    <w:p>
      <w:pPr>
        <w:pStyle w:val="normal1"/>
        <w:spacing w:lineRule="auto" w:line="240"/>
        <w:jc w:val="center"/>
        <w:rPr>
          <w:rFonts w:ascii="Calibri" w:hAnsi="Calibri" w:eastAsia="Calibri" w:cs="Calibri"/>
          <w:lang w:val="pt-BR" w:eastAsia="zh-CN" w:bidi="hi-IN"/>
        </w:rPr>
      </w:pPr>
      <w:r>
        <w:rPr>
          <w:rFonts w:eastAsia="Calibri" w:cs="Calibri" w:ascii="Calibri" w:hAnsi="Calibri"/>
          <w:lang w:val="pt-BR" w:eastAsia="zh-CN" w:bidi="hi-IN"/>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40" w:right="1440" w:gutter="0" w:header="720" w:top="1440" w:footer="720" w:bottom="1440"/>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2"/>
    <w:family w:val="swiss"/>
    <w:pitch w:val="variable"/>
  </w:font>
  <w:font w:name="Liberation Sans">
    <w:altName w:val="Arial"/>
    <w:charset w:val="00" w:characterSet="windows-1252"/>
    <w:family w:val="swiss"/>
    <w:pitch w:val="variable"/>
  </w:font>
  <w:font w:name="Calibri">
    <w:charset w:val="00" w:characterSet="windows-1252"/>
    <w:family w:val="roman"/>
    <w:pitch w:val="variable"/>
  </w:font>
  <w:font w:name="Calibri">
    <w:altName w:val="serif"/>
    <w:charset w:val="00" w:characterSet="windows-1252"/>
    <w:family w:val="swiss"/>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jc w:val="end"/>
      <w:rPr/>
    </w:pPr>
    <w:r>
      <w:rPr/>
      <w:tab/>
    </w:r>
    <w:r>
      <w:rPr>
        <w:sz w:val="12"/>
        <w:szCs w:val="12"/>
      </w:rPr>
      <w:t>Doc. Versão 1.6 -17.04.24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jc w:val="end"/>
      <w:rPr/>
    </w:pPr>
    <w:r>
      <w:rPr/>
      <w:tab/>
    </w:r>
    <w:r>
      <w:rPr>
        <w:sz w:val="12"/>
        <w:szCs w:val="12"/>
      </w:rPr>
      <w:t>Doc. Versão 1.6 -17.04.24</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ind w:hanging="0" w:start="-567"/>
      <w:jc w:val="center"/>
      <w:rPr>
        <w:rFonts w:ascii="Calibri" w:hAnsi="Calibri" w:eastAsia="Calibri" w:cs="Calibri"/>
        <w:b/>
        <w:bCs/>
        <w:sz w:val="28"/>
        <w:szCs w:val="28"/>
      </w:rPr>
    </w:pPr>
    <w:r>
      <w:drawing>
        <wp:anchor distT="0" distB="0" distL="0" distR="0" simplePos="0" relativeHeight="9" behindDoc="1" locked="0" layoutInCell="1" allowOverlap="1">
          <wp:simplePos x="0" y="0"/>
          <wp:positionH relativeFrom="column">
            <wp:posOffset>0</wp:posOffset>
          </wp:positionH>
          <wp:positionV relativeFrom="paragraph">
            <wp:posOffset>-200025</wp:posOffset>
          </wp:positionV>
          <wp:extent cx="633095" cy="70612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1"/>
                  <a:stretch>
                    <a:fillRect/>
                  </a:stretch>
                </pic:blipFill>
                <pic:spPr bwMode="auto">
                  <a:xfrm>
                    <a:off x="0" y="0"/>
                    <a:ext cx="633095" cy="706120"/>
                  </a:xfrm>
                  <a:prstGeom prst="rect">
                    <a:avLst/>
                  </a:prstGeom>
                  <a:noFill/>
                </pic:spPr>
              </pic:pic>
            </a:graphicData>
          </a:graphic>
        </wp:anchor>
      </w:drawing>
      <w:drawing>
        <wp:anchor distT="0" distB="0" distL="0" distR="0" simplePos="0" relativeHeight="17" behindDoc="1" locked="0" layoutInCell="1" allowOverlap="1">
          <wp:simplePos x="0" y="0"/>
          <wp:positionH relativeFrom="column">
            <wp:posOffset>4552950</wp:posOffset>
          </wp:positionH>
          <wp:positionV relativeFrom="paragraph">
            <wp:posOffset>-157480</wp:posOffset>
          </wp:positionV>
          <wp:extent cx="1289685" cy="615950"/>
          <wp:effectExtent l="0" t="0" r="0" b="0"/>
          <wp:wrapNone/>
          <wp:docPr id="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a:picLocks noChangeAspect="1" noChangeArrowheads="1"/>
                  </pic:cNvPicPr>
                </pic:nvPicPr>
                <pic:blipFill>
                  <a:blip r:embed="rId2"/>
                  <a:stretch>
                    <a:fillRect/>
                  </a:stretch>
                </pic:blipFill>
                <pic:spPr bwMode="auto">
                  <a:xfrm>
                    <a:off x="0" y="0"/>
                    <a:ext cx="1289685" cy="615950"/>
                  </a:xfrm>
                  <a:prstGeom prst="rect">
                    <a:avLst/>
                  </a:prstGeom>
                  <a:noFill/>
                </pic:spPr>
              </pic:pic>
            </a:graphicData>
          </a:graphic>
        </wp:anchor>
      </w:drawing>
    </w:r>
    <w:r>
      <w:rPr>
        <w:rFonts w:eastAsia="Calibri" w:cs="Calibri" w:ascii="Calibri" w:hAnsi="Calibri"/>
        <w:b/>
        <w:bCs/>
        <w:sz w:val="28"/>
        <w:szCs w:val="28"/>
      </w:rPr>
      <w:t>ESTADO DO RIO GRANDE DO SUL</w:t>
    </w:r>
  </w:p>
  <w:p>
    <w:pPr>
      <w:pStyle w:val="normal1"/>
      <w:ind w:hanging="0" w:start="-567"/>
      <w:jc w:val="center"/>
      <w:rPr/>
    </w:pPr>
    <w:r>
      <w:rPr>
        <w:rFonts w:eastAsia="Calibri" w:cs="Calibri" w:ascii="Calibri" w:hAnsi="Calibri"/>
        <w:b/>
        <w:bCs/>
        <w:sz w:val="28"/>
        <w:szCs w:val="28"/>
      </w:rPr>
      <w:t>MUNICÍPIO DE IGREJINHA</w:t>
    </w:r>
  </w:p>
  <w:p>
    <w:pPr>
      <w:pStyle w:val="normal1"/>
      <w:rPr>
        <w:sz w:val="12"/>
        <w:szCs w:val="12"/>
      </w:rPr>
    </w:pPr>
    <w:r>
      <w:rPr/>
      <w:tab/>
      <w:tab/>
      <w:tab/>
      <w:tab/>
      <w:tab/>
      <w:tab/>
      <w:tab/>
      <w:tab/>
      <w:tab/>
      <w:tab/>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ind w:hanging="0" w:start="-567"/>
      <w:jc w:val="center"/>
      <w:rPr>
        <w:rFonts w:ascii="Calibri" w:hAnsi="Calibri" w:eastAsia="Calibri" w:cs="Calibri"/>
        <w:b/>
        <w:bCs/>
        <w:sz w:val="28"/>
        <w:szCs w:val="28"/>
      </w:rPr>
    </w:pPr>
    <w:r>
      <w:drawing>
        <wp:anchor distT="0" distB="0" distL="0" distR="0" simplePos="0" relativeHeight="9" behindDoc="1" locked="0" layoutInCell="1" allowOverlap="1">
          <wp:simplePos x="0" y="0"/>
          <wp:positionH relativeFrom="column">
            <wp:posOffset>0</wp:posOffset>
          </wp:positionH>
          <wp:positionV relativeFrom="paragraph">
            <wp:posOffset>-200025</wp:posOffset>
          </wp:positionV>
          <wp:extent cx="633095" cy="706120"/>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pic:cNvPicPr>
                    <a:picLocks noChangeAspect="1" noChangeArrowheads="1"/>
                  </pic:cNvPicPr>
                </pic:nvPicPr>
                <pic:blipFill>
                  <a:blip r:embed="rId1"/>
                  <a:stretch>
                    <a:fillRect/>
                  </a:stretch>
                </pic:blipFill>
                <pic:spPr bwMode="auto">
                  <a:xfrm>
                    <a:off x="0" y="0"/>
                    <a:ext cx="633095" cy="706120"/>
                  </a:xfrm>
                  <a:prstGeom prst="rect">
                    <a:avLst/>
                  </a:prstGeom>
                  <a:noFill/>
                </pic:spPr>
              </pic:pic>
            </a:graphicData>
          </a:graphic>
        </wp:anchor>
      </w:drawing>
      <w:drawing>
        <wp:anchor distT="0" distB="0" distL="0" distR="0" simplePos="0" relativeHeight="17" behindDoc="1" locked="0" layoutInCell="1" allowOverlap="1">
          <wp:simplePos x="0" y="0"/>
          <wp:positionH relativeFrom="column">
            <wp:posOffset>4552950</wp:posOffset>
          </wp:positionH>
          <wp:positionV relativeFrom="paragraph">
            <wp:posOffset>-157480</wp:posOffset>
          </wp:positionV>
          <wp:extent cx="1289685" cy="615950"/>
          <wp:effectExtent l="0" t="0" r="0" b="0"/>
          <wp:wrapNone/>
          <wp:docPr id="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a:picLocks noChangeAspect="1" noChangeArrowheads="1"/>
                  </pic:cNvPicPr>
                </pic:nvPicPr>
                <pic:blipFill>
                  <a:blip r:embed="rId2"/>
                  <a:stretch>
                    <a:fillRect/>
                  </a:stretch>
                </pic:blipFill>
                <pic:spPr bwMode="auto">
                  <a:xfrm>
                    <a:off x="0" y="0"/>
                    <a:ext cx="1289685" cy="615950"/>
                  </a:xfrm>
                  <a:prstGeom prst="rect">
                    <a:avLst/>
                  </a:prstGeom>
                  <a:noFill/>
                </pic:spPr>
              </pic:pic>
            </a:graphicData>
          </a:graphic>
        </wp:anchor>
      </w:drawing>
    </w:r>
    <w:r>
      <w:rPr>
        <w:rFonts w:eastAsia="Calibri" w:cs="Calibri" w:ascii="Calibri" w:hAnsi="Calibri"/>
        <w:b/>
        <w:bCs/>
        <w:sz w:val="28"/>
        <w:szCs w:val="28"/>
      </w:rPr>
      <w:t>ESTADO DO RIO GRANDE DO SUL</w:t>
    </w:r>
  </w:p>
  <w:p>
    <w:pPr>
      <w:pStyle w:val="normal1"/>
      <w:ind w:hanging="0" w:start="-567"/>
      <w:jc w:val="center"/>
      <w:rPr/>
    </w:pPr>
    <w:r>
      <w:rPr>
        <w:rFonts w:eastAsia="Calibri" w:cs="Calibri" w:ascii="Calibri" w:hAnsi="Calibri"/>
        <w:b/>
        <w:bCs/>
        <w:sz w:val="28"/>
        <w:szCs w:val="28"/>
      </w:rPr>
      <w:t>MUNICÍPIO DE IGREJINHA</w:t>
    </w:r>
  </w:p>
  <w:p>
    <w:pPr>
      <w:pStyle w:val="normal1"/>
      <w:rPr>
        <w:sz w:val="12"/>
        <w:szCs w:val="12"/>
      </w:rPr>
    </w:pPr>
    <w:r>
      <w:rPr/>
      <w:tab/>
      <w:tab/>
      <w:tab/>
      <w:tab/>
      <w:tab/>
      <w:tab/>
      <w:tab/>
      <w:tab/>
      <w:tab/>
      <w:tab/>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OpenSymbol" w:hAnsi="OpenSymbol" w:cs="OpenSymbol" w:hint="default"/>
        <w:u w:val="none"/>
      </w:rPr>
    </w:lvl>
    <w:lvl w:ilvl="1">
      <w:start w:val="1"/>
      <w:numFmt w:val="bullet"/>
      <w:lvlText w:val="-"/>
      <w:lvlJc w:val="start"/>
      <w:pPr>
        <w:tabs>
          <w:tab w:val="num" w:pos="0"/>
        </w:tabs>
        <w:ind w:start="1440" w:hanging="360"/>
      </w:pPr>
      <w:rPr>
        <w:rFonts w:ascii="OpenSymbol" w:hAnsi="OpenSymbol" w:cs="OpenSymbol" w:hint="default"/>
        <w:u w:val="none"/>
      </w:rPr>
    </w:lvl>
    <w:lvl w:ilvl="2">
      <w:start w:val="1"/>
      <w:numFmt w:val="bullet"/>
      <w:lvlText w:val="-"/>
      <w:lvlJc w:val="start"/>
      <w:pPr>
        <w:tabs>
          <w:tab w:val="num" w:pos="0"/>
        </w:tabs>
        <w:ind w:start="2160" w:hanging="360"/>
      </w:pPr>
      <w:rPr>
        <w:rFonts w:ascii="OpenSymbol" w:hAnsi="OpenSymbol" w:cs="OpenSymbol" w:hint="default"/>
        <w:u w:val="none"/>
      </w:rPr>
    </w:lvl>
    <w:lvl w:ilvl="3">
      <w:start w:val="1"/>
      <w:numFmt w:val="bullet"/>
      <w:lvlText w:val="-"/>
      <w:lvlJc w:val="start"/>
      <w:pPr>
        <w:tabs>
          <w:tab w:val="num" w:pos="0"/>
        </w:tabs>
        <w:ind w:start="2880" w:hanging="360"/>
      </w:pPr>
      <w:rPr>
        <w:rFonts w:ascii="OpenSymbol" w:hAnsi="OpenSymbol" w:cs="OpenSymbol" w:hint="default"/>
        <w:u w:val="none"/>
      </w:rPr>
    </w:lvl>
    <w:lvl w:ilvl="4">
      <w:start w:val="1"/>
      <w:numFmt w:val="bullet"/>
      <w:lvlText w:val="-"/>
      <w:lvlJc w:val="start"/>
      <w:pPr>
        <w:tabs>
          <w:tab w:val="num" w:pos="0"/>
        </w:tabs>
        <w:ind w:start="3600" w:hanging="360"/>
      </w:pPr>
      <w:rPr>
        <w:rFonts w:ascii="OpenSymbol" w:hAnsi="OpenSymbol" w:cs="OpenSymbol" w:hint="default"/>
        <w:u w:val="none"/>
      </w:rPr>
    </w:lvl>
    <w:lvl w:ilvl="5">
      <w:start w:val="1"/>
      <w:numFmt w:val="bullet"/>
      <w:lvlText w:val="-"/>
      <w:lvlJc w:val="start"/>
      <w:pPr>
        <w:tabs>
          <w:tab w:val="num" w:pos="0"/>
        </w:tabs>
        <w:ind w:start="4320" w:hanging="360"/>
      </w:pPr>
      <w:rPr>
        <w:rFonts w:ascii="OpenSymbol" w:hAnsi="OpenSymbol" w:cs="OpenSymbol" w:hint="default"/>
        <w:u w:val="none"/>
      </w:rPr>
    </w:lvl>
    <w:lvl w:ilvl="6">
      <w:start w:val="1"/>
      <w:numFmt w:val="bullet"/>
      <w:lvlText w:val="-"/>
      <w:lvlJc w:val="start"/>
      <w:pPr>
        <w:tabs>
          <w:tab w:val="num" w:pos="0"/>
        </w:tabs>
        <w:ind w:start="5040" w:hanging="360"/>
      </w:pPr>
      <w:rPr>
        <w:rFonts w:ascii="OpenSymbol" w:hAnsi="OpenSymbol" w:cs="OpenSymbol" w:hint="default"/>
        <w:u w:val="none"/>
      </w:rPr>
    </w:lvl>
    <w:lvl w:ilvl="7">
      <w:start w:val="1"/>
      <w:numFmt w:val="bullet"/>
      <w:lvlText w:val="-"/>
      <w:lvlJc w:val="start"/>
      <w:pPr>
        <w:tabs>
          <w:tab w:val="num" w:pos="0"/>
        </w:tabs>
        <w:ind w:start="5760" w:hanging="360"/>
      </w:pPr>
      <w:rPr>
        <w:rFonts w:ascii="OpenSymbol" w:hAnsi="OpenSymbol" w:cs="OpenSymbol" w:hint="default"/>
        <w:u w:val="none"/>
      </w:rPr>
    </w:lvl>
    <w:lvl w:ilvl="8">
      <w:start w:val="1"/>
      <w:numFmt w:val="bullet"/>
      <w:lvlText w:val="-"/>
      <w:lvlJc w:val="start"/>
      <w:pPr>
        <w:tabs>
          <w:tab w:val="num" w:pos="0"/>
        </w:tabs>
        <w:ind w:start="6480" w:hanging="360"/>
      </w:pPr>
      <w:rPr>
        <w:rFonts w:ascii="OpenSymbol" w:hAnsi="OpenSymbol" w:cs="OpenSymbol" w:hint="default"/>
        <w:u w:val="none"/>
      </w:rPr>
    </w:lvl>
  </w:abstractNum>
  <w:abstractNum w:abstractNumId="2">
    <w:lvl w:ilvl="0">
      <w:start w:val="1"/>
      <w:numFmt w:val="bullet"/>
      <w:lvlText w:val="-"/>
      <w:lvlJc w:val="start"/>
      <w:pPr>
        <w:tabs>
          <w:tab w:val="num" w:pos="0"/>
        </w:tabs>
        <w:ind w:start="720" w:hanging="360"/>
      </w:pPr>
      <w:rPr>
        <w:rFonts w:ascii="OpenSymbol" w:hAnsi="OpenSymbol" w:cs="OpenSymbol" w:hint="default"/>
        <w:u w:val="none"/>
      </w:rPr>
    </w:lvl>
    <w:lvl w:ilvl="1">
      <w:start w:val="1"/>
      <w:numFmt w:val="bullet"/>
      <w:lvlText w:val="-"/>
      <w:lvlJc w:val="start"/>
      <w:pPr>
        <w:tabs>
          <w:tab w:val="num" w:pos="0"/>
        </w:tabs>
        <w:ind w:start="1440" w:hanging="360"/>
      </w:pPr>
      <w:rPr>
        <w:rFonts w:ascii="OpenSymbol" w:hAnsi="OpenSymbol" w:cs="OpenSymbol" w:hint="default"/>
        <w:u w:val="none"/>
      </w:rPr>
    </w:lvl>
    <w:lvl w:ilvl="2">
      <w:start w:val="1"/>
      <w:numFmt w:val="bullet"/>
      <w:lvlText w:val="-"/>
      <w:lvlJc w:val="start"/>
      <w:pPr>
        <w:tabs>
          <w:tab w:val="num" w:pos="0"/>
        </w:tabs>
        <w:ind w:start="2160" w:hanging="360"/>
      </w:pPr>
      <w:rPr>
        <w:rFonts w:ascii="OpenSymbol" w:hAnsi="OpenSymbol" w:cs="OpenSymbol" w:hint="default"/>
        <w:u w:val="none"/>
      </w:rPr>
    </w:lvl>
    <w:lvl w:ilvl="3">
      <w:start w:val="1"/>
      <w:numFmt w:val="bullet"/>
      <w:lvlText w:val="-"/>
      <w:lvlJc w:val="start"/>
      <w:pPr>
        <w:tabs>
          <w:tab w:val="num" w:pos="0"/>
        </w:tabs>
        <w:ind w:start="2880" w:hanging="360"/>
      </w:pPr>
      <w:rPr>
        <w:rFonts w:ascii="OpenSymbol" w:hAnsi="OpenSymbol" w:cs="OpenSymbol" w:hint="default"/>
        <w:u w:val="none"/>
      </w:rPr>
    </w:lvl>
    <w:lvl w:ilvl="4">
      <w:start w:val="1"/>
      <w:numFmt w:val="bullet"/>
      <w:lvlText w:val="-"/>
      <w:lvlJc w:val="start"/>
      <w:pPr>
        <w:tabs>
          <w:tab w:val="num" w:pos="0"/>
        </w:tabs>
        <w:ind w:start="3600" w:hanging="360"/>
      </w:pPr>
      <w:rPr>
        <w:rFonts w:ascii="OpenSymbol" w:hAnsi="OpenSymbol" w:cs="OpenSymbol" w:hint="default"/>
        <w:u w:val="none"/>
      </w:rPr>
    </w:lvl>
    <w:lvl w:ilvl="5">
      <w:start w:val="1"/>
      <w:numFmt w:val="bullet"/>
      <w:lvlText w:val="-"/>
      <w:lvlJc w:val="start"/>
      <w:pPr>
        <w:tabs>
          <w:tab w:val="num" w:pos="0"/>
        </w:tabs>
        <w:ind w:start="4320" w:hanging="360"/>
      </w:pPr>
      <w:rPr>
        <w:rFonts w:ascii="OpenSymbol" w:hAnsi="OpenSymbol" w:cs="OpenSymbol" w:hint="default"/>
        <w:u w:val="none"/>
      </w:rPr>
    </w:lvl>
    <w:lvl w:ilvl="6">
      <w:start w:val="1"/>
      <w:numFmt w:val="bullet"/>
      <w:lvlText w:val="-"/>
      <w:lvlJc w:val="start"/>
      <w:pPr>
        <w:tabs>
          <w:tab w:val="num" w:pos="0"/>
        </w:tabs>
        <w:ind w:start="5040" w:hanging="360"/>
      </w:pPr>
      <w:rPr>
        <w:rFonts w:ascii="OpenSymbol" w:hAnsi="OpenSymbol" w:cs="OpenSymbol" w:hint="default"/>
        <w:u w:val="none"/>
      </w:rPr>
    </w:lvl>
    <w:lvl w:ilvl="7">
      <w:start w:val="1"/>
      <w:numFmt w:val="bullet"/>
      <w:lvlText w:val="-"/>
      <w:lvlJc w:val="start"/>
      <w:pPr>
        <w:tabs>
          <w:tab w:val="num" w:pos="0"/>
        </w:tabs>
        <w:ind w:start="5760" w:hanging="360"/>
      </w:pPr>
      <w:rPr>
        <w:rFonts w:ascii="OpenSymbol" w:hAnsi="OpenSymbol" w:cs="OpenSymbol" w:hint="default"/>
        <w:u w:val="none"/>
      </w:rPr>
    </w:lvl>
    <w:lvl w:ilvl="8">
      <w:start w:val="1"/>
      <w:numFmt w:val="bullet"/>
      <w:lvlText w:val="-"/>
      <w:lvlJc w:val="start"/>
      <w:pPr>
        <w:tabs>
          <w:tab w:val="num" w:pos="0"/>
        </w:tabs>
        <w:ind w:start="6480" w:hanging="360"/>
      </w:pPr>
      <w:rPr>
        <w:rFonts w:ascii="OpenSymbol" w:hAnsi="OpenSymbol" w:cs="OpenSymbol" w:hint="default"/>
        <w:u w:val="none"/>
      </w:rPr>
    </w:lvl>
  </w:abstractNum>
  <w:abstractNum w:abstractNumId="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embedTrueTypeFonts/>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0"/>
      <w:jc w:val="start"/>
    </w:pPr>
    <w:rPr>
      <w:rFonts w:ascii="Arial" w:hAnsi="Arial" w:eastAsia="Arial" w:cs="Arial"/>
      <w:color w:val="auto"/>
      <w:kern w:val="0"/>
      <w:sz w:val="22"/>
      <w:szCs w:val="22"/>
      <w:lang w:val="en-US" w:eastAsia="zh-CN" w:bidi="hi-IN"/>
    </w:rPr>
  </w:style>
  <w:style w:type="paragraph" w:styleId="Heading1">
    <w:name w:val="heading 1"/>
    <w:basedOn w:val="normal1"/>
    <w:next w:val="normal1"/>
    <w:qFormat/>
    <w:pPr>
      <w:keepNext w:val="true"/>
      <w:keepLines/>
      <w:pageBreakBefore w:val="false"/>
      <w:spacing w:lineRule="auto" w:line="240" w:before="400" w:after="120"/>
    </w:pPr>
    <w:rPr>
      <w:sz w:val="40"/>
      <w:szCs w:val="40"/>
    </w:rPr>
  </w:style>
  <w:style w:type="paragraph" w:styleId="Heading2">
    <w:name w:val="heading 2"/>
    <w:basedOn w:val="normal1"/>
    <w:next w:val="normal1"/>
    <w:qFormat/>
    <w:pPr>
      <w:keepNext w:val="true"/>
      <w:keepLines/>
      <w:pageBreakBefore w:val="false"/>
      <w:spacing w:lineRule="auto" w:line="240" w:before="360" w:after="120"/>
    </w:pPr>
    <w:rPr>
      <w:b w:val="false"/>
      <w:bCs w:val="false"/>
      <w:sz w:val="32"/>
      <w:szCs w:val="32"/>
    </w:rPr>
  </w:style>
  <w:style w:type="paragraph" w:styleId="Heading3">
    <w:name w:val="heading 3"/>
    <w:basedOn w:val="normal1"/>
    <w:next w:val="normal1"/>
    <w:qFormat/>
    <w:pPr>
      <w:keepNext w:val="true"/>
      <w:keepLines/>
      <w:pageBreakBefore w:val="false"/>
      <w:spacing w:lineRule="auto" w:line="240" w:before="320" w:after="80"/>
    </w:pPr>
    <w:rPr>
      <w:b w:val="false"/>
      <w:bCs w:val="false"/>
      <w:color w:val="434343"/>
      <w:sz w:val="28"/>
      <w:szCs w:val="28"/>
    </w:rPr>
  </w:style>
  <w:style w:type="paragraph" w:styleId="Heading4">
    <w:name w:val="heading 4"/>
    <w:basedOn w:val="normal1"/>
    <w:next w:val="normal1"/>
    <w:qFormat/>
    <w:pPr>
      <w:keepNext w:val="true"/>
      <w:keepLines/>
      <w:pageBreakBefore w:val="false"/>
      <w:spacing w:lineRule="auto" w:line="240" w:before="280" w:after="80"/>
    </w:pPr>
    <w:rPr>
      <w:color w:val="666666"/>
      <w:sz w:val="24"/>
      <w:szCs w:val="24"/>
    </w:rPr>
  </w:style>
  <w:style w:type="paragraph" w:styleId="Heading5">
    <w:name w:val="heading 5"/>
    <w:basedOn w:val="normal1"/>
    <w:next w:val="normal1"/>
    <w:qFormat/>
    <w:pPr>
      <w:keepNext w:val="true"/>
      <w:keepLines/>
      <w:pageBreakBefore w:val="false"/>
      <w:spacing w:lineRule="auto" w:line="240" w:before="240" w:after="80"/>
    </w:pPr>
    <w:rPr>
      <w:color w:val="666666"/>
      <w:sz w:val="22"/>
      <w:szCs w:val="22"/>
    </w:rPr>
  </w:style>
  <w:style w:type="paragraph" w:styleId="Heading6">
    <w:name w:val="heading 6"/>
    <w:basedOn w:val="normal1"/>
    <w:next w:val="normal1"/>
    <w:qFormat/>
    <w:pPr>
      <w:keepNext w:val="true"/>
      <w:keepLines/>
      <w:pageBreakBefore w:val="false"/>
      <w:spacing w:lineRule="auto" w:line="240" w:before="240" w:after="80"/>
    </w:pPr>
    <w:rPr>
      <w:i/>
      <w:iCs/>
      <w:color w:val="666666"/>
      <w:sz w:val="22"/>
      <w:szCs w:val="22"/>
    </w:rPr>
  </w:style>
  <w:style w:type="character" w:styleId="Strong">
    <w:name w:val="Strong"/>
    <w:qFormat/>
    <w:rPr>
      <w:b/>
      <w:bCs/>
    </w:rPr>
  </w:style>
  <w:style w:type="character" w:styleId="Marcadoresuser">
    <w:name w:val="Marcadores (user)"/>
    <w:qFormat/>
    <w:rPr>
      <w:rFonts w:ascii="OpenSymbol" w:hAnsi="OpenSymbol" w:eastAsia="OpenSymbol" w:cs="OpenSymbol"/>
    </w:rPr>
  </w:style>
  <w:style w:type="paragraph" w:styleId="Ttulo">
    <w:name w:val="Títu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ndice">
    <w:name w:val="Índice"/>
    <w:basedOn w:val="Normal"/>
    <w:qFormat/>
    <w:pPr>
      <w:suppressLineNumbers/>
    </w:pPr>
    <w:rPr>
      <w:rFonts w:cs="Lucida Sans"/>
    </w:rPr>
  </w:style>
  <w:style w:type="paragraph" w:styleId="Ttulouser">
    <w:name w:val="Título (user)"/>
    <w:basedOn w:val="Normal"/>
    <w:next w:val="BodyText"/>
    <w:qFormat/>
    <w:pPr>
      <w:keepNext w:val="true"/>
      <w:spacing w:before="240" w:after="120"/>
    </w:pPr>
    <w:rPr>
      <w:rFonts w:ascii="Liberation Sans" w:hAnsi="Liberation Sans" w:eastAsia="Microsoft YaHei" w:cs="Lucida Sans"/>
      <w:sz w:val="28"/>
      <w:szCs w:val="28"/>
    </w:rPr>
  </w:style>
  <w:style w:type="paragraph" w:styleId="ndiceuser">
    <w:name w:val="Índice (user)"/>
    <w:basedOn w:val="Normal"/>
    <w:qFormat/>
    <w:pPr>
      <w:suppressLineNumbers/>
    </w:pPr>
    <w:rPr>
      <w:rFonts w:cs="Lucida Sans"/>
    </w:rPr>
  </w:style>
  <w:style w:type="paragraph" w:styleId="normal1" w:default="1">
    <w:name w:val="normal1"/>
    <w:qFormat/>
    <w:pPr>
      <w:widowControl/>
      <w:suppressAutoHyphens w:val="true"/>
      <w:bidi w:val="0"/>
      <w:spacing w:lineRule="auto" w:line="276" w:before="0" w:after="0"/>
      <w:jc w:val="start"/>
    </w:pPr>
    <w:rPr>
      <w:rFonts w:ascii="Arial" w:hAnsi="Arial" w:eastAsia="Arial" w:cs="Arial"/>
      <w:color w:val="auto"/>
      <w:kern w:val="0"/>
      <w:sz w:val="22"/>
      <w:szCs w:val="22"/>
      <w:lang w:val="en-US" w:eastAsia="zh-CN" w:bidi="hi-IN"/>
    </w:rPr>
  </w:style>
  <w:style w:type="paragraph" w:styleId="Title">
    <w:name w:val="Title"/>
    <w:basedOn w:val="normal1"/>
    <w:next w:val="normal1"/>
    <w:qFormat/>
    <w:pPr>
      <w:keepNext w:val="true"/>
      <w:keepLines/>
      <w:pageBreakBefore w:val="false"/>
      <w:spacing w:lineRule="auto" w:line="240" w:before="0" w:after="60"/>
    </w:pPr>
    <w:rPr>
      <w:sz w:val="52"/>
      <w:szCs w:val="52"/>
    </w:rPr>
  </w:style>
  <w:style w:type="paragraph" w:styleId="Subtitle">
    <w:name w:val="Subtitle"/>
    <w:basedOn w:val="normal1"/>
    <w:next w:val="normal1"/>
    <w:qFormat/>
    <w:pPr>
      <w:keepNext w:val="true"/>
      <w:keepLines/>
      <w:pageBreakBefore w:val="false"/>
      <w:spacing w:lineRule="auto" w:line="240" w:before="0" w:after="320"/>
    </w:pPr>
    <w:rPr>
      <w:rFonts w:ascii="Arial" w:hAnsi="Arial" w:eastAsia="Arial" w:cs="Arial"/>
      <w:i w:val="false"/>
      <w:iCs w:val="false"/>
      <w:color w:val="666666"/>
      <w:sz w:val="30"/>
      <w:szCs w:val="30"/>
    </w:rPr>
  </w:style>
  <w:style w:type="paragraph" w:styleId="Cabealhoerodap">
    <w:name w:val="Cabeçalho e rodapé"/>
    <w:basedOn w:val="Normal"/>
    <w:qFormat/>
    <w:pPr/>
    <w:rPr/>
  </w:style>
  <w:style w:type="paragraph" w:styleId="Cabealhoerodapuser">
    <w:name w:val="Cabeçalho e rodapé (user)"/>
    <w:basedOn w:val="Normal"/>
    <w:qFormat/>
    <w:pPr/>
    <w:rPr/>
  </w:style>
  <w:style w:type="paragraph" w:styleId="Header">
    <w:name w:val="header"/>
    <w:basedOn w:val="Cabealhoerodap"/>
    <w:pPr/>
    <w:rPr/>
  </w:style>
  <w:style w:type="paragraph" w:styleId="Footer">
    <w:name w:val="footer"/>
    <w:basedOn w:val="Cabealhoerodap"/>
    <w:pPr/>
    <w:rPr/>
  </w:style>
  <w:style w:type="paragraph" w:styleId="Contedodatabela">
    <w:name w:val="Conteúdo da tabela"/>
    <w:basedOn w:val="Normal"/>
    <w:qFormat/>
    <w:pPr>
      <w:widowControl w:val="false"/>
      <w:suppressLineNumbers/>
    </w:pPr>
    <w:rPr/>
  </w:style>
  <w:style w:type="paragraph" w:styleId="Ttulodetabela">
    <w:name w:val="Título de tabela"/>
    <w:basedOn w:val="Contedodatabela"/>
    <w:qFormat/>
    <w:pPr>
      <w:suppressLineNumbers/>
      <w:jc w:val="center"/>
    </w:pPr>
    <w:rPr>
      <w:b/>
      <w:bCs/>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
</Relationships>
</file>

<file path=word/_rels/header3.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32</TotalTime>
  <Application>LibreOffice/26.2.5.2$Windows_X86_64 LibreOffice_project/cd7284b4cbbfeb507e630c1aac019f4157393acb</Application>
  <AppVersion>15.0000</AppVersion>
  <Pages>8</Pages>
  <Words>2976</Words>
  <Characters>17502</Characters>
  <CharactersWithSpaces>20406</CharactersWithSpaces>
  <Paragraphs>163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pt-BR</dc:language>
  <cp:lastModifiedBy/>
  <dcterms:modified xsi:type="dcterms:W3CDTF">2026-08-12T17:16:08Z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